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2C" w:rsidRPr="00CA7438" w:rsidRDefault="003D5EE8" w:rsidP="003D5EE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Zbog pogodovanja lošima, financijski kažnjeni naši građani</w:t>
      </w:r>
    </w:p>
    <w:p w:rsidR="00313002" w:rsidRDefault="00313002" w:rsidP="00C1222C">
      <w:pPr>
        <w:jc w:val="both"/>
        <w:rPr>
          <w:rFonts w:ascii="Calibri" w:hAnsi="Calibri"/>
          <w:sz w:val="22"/>
          <w:szCs w:val="22"/>
        </w:rPr>
      </w:pPr>
    </w:p>
    <w:p w:rsidR="00313002" w:rsidRDefault="00313002" w:rsidP="00C1222C">
      <w:pPr>
        <w:jc w:val="both"/>
        <w:rPr>
          <w:rFonts w:ascii="Calibri" w:hAnsi="Calibri"/>
          <w:sz w:val="22"/>
          <w:szCs w:val="22"/>
        </w:rPr>
      </w:pPr>
    </w:p>
    <w:p w:rsidR="00313002" w:rsidRDefault="00C1222C" w:rsidP="00C1222C">
      <w:pPr>
        <w:jc w:val="both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ab/>
      </w:r>
      <w:r w:rsidR="00532E24" w:rsidRPr="00CA7438">
        <w:rPr>
          <w:rFonts w:ascii="Calibri" w:hAnsi="Calibri"/>
          <w:sz w:val="22"/>
          <w:szCs w:val="22"/>
        </w:rPr>
        <w:t>Na adrese gradova i općina počela su stizati Rješenja o plaćanju poticajne naknade za smanjenje količine miješanog komunalnog otpada</w:t>
      </w:r>
      <w:r w:rsidR="00313002">
        <w:rPr>
          <w:rFonts w:ascii="Calibri" w:hAnsi="Calibri"/>
          <w:sz w:val="22"/>
          <w:szCs w:val="22"/>
        </w:rPr>
        <w:t>. Da posjetimo, radi se o odredbama predviđenim Zakon</w:t>
      </w:r>
      <w:r w:rsidR="00057FE0" w:rsidRPr="00057FE0">
        <w:rPr>
          <w:rFonts w:ascii="Calibri" w:hAnsi="Calibri"/>
          <w:sz w:val="22"/>
          <w:szCs w:val="22"/>
        </w:rPr>
        <w:t>om</w:t>
      </w:r>
      <w:r w:rsidR="00313002">
        <w:rPr>
          <w:rFonts w:ascii="Calibri" w:hAnsi="Calibri"/>
          <w:sz w:val="22"/>
          <w:szCs w:val="22"/>
        </w:rPr>
        <w:t xml:space="preserve"> o održivom gospodarenju otpadom, koje predviđaju da  jedinice lokalne samouprave u Hrvatskoj trebaju uplatiti određeni iznos Fondu za zaštitu okoliša i energetsku učinkovitost, ovisno o prekomjernim količinama miješanog komunalnog otpada u 2017. godini. </w:t>
      </w:r>
    </w:p>
    <w:p w:rsidR="00313002" w:rsidRDefault="00313002" w:rsidP="00C1222C">
      <w:pPr>
        <w:jc w:val="both"/>
        <w:rPr>
          <w:rFonts w:ascii="Calibri" w:hAnsi="Calibri"/>
          <w:sz w:val="22"/>
          <w:szCs w:val="22"/>
        </w:rPr>
      </w:pPr>
    </w:p>
    <w:p w:rsidR="00F30C0C" w:rsidRDefault="00313002" w:rsidP="00F30C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Ukratko, počelo se događati ono o čemu smo mi na sjeveru Hrvatske govorili i upozoravali – kažnjavaju se gradovi i općine koji su već ranije uspjeli smanji</w:t>
      </w:r>
      <w:r w:rsidR="00AE2987">
        <w:rPr>
          <w:rFonts w:ascii="Calibri" w:hAnsi="Calibri"/>
          <w:sz w:val="22"/>
          <w:szCs w:val="22"/>
        </w:rPr>
        <w:t xml:space="preserve">ti količine nerazvrstanog otpada koji se trajno zbrinjava na odlagalištima. Konkretno, prema tim propisima, 2017. godine trebalo je za 20 posto smanjiti nerazvrstani miješani komunalni otpad u odnosu na količine iz 2015. godine, u prošloj godini za dodatnih 6 posto. 2022. godine na odlagalištima će biti dozvoljeno trajno zbrinuti 50 posto količine nerazvrstanog </w:t>
      </w:r>
      <w:r w:rsidR="00F30C0C">
        <w:rPr>
          <w:rFonts w:ascii="Calibri" w:hAnsi="Calibri"/>
          <w:sz w:val="22"/>
          <w:szCs w:val="22"/>
        </w:rPr>
        <w:t xml:space="preserve">miješanog otpada u odnosu na količine iz </w:t>
      </w:r>
      <w:r w:rsidR="00AE2987">
        <w:rPr>
          <w:rFonts w:ascii="Calibri" w:hAnsi="Calibri"/>
          <w:sz w:val="22"/>
          <w:szCs w:val="22"/>
        </w:rPr>
        <w:t>2015. godine</w:t>
      </w:r>
      <w:r w:rsidR="00F30C0C">
        <w:rPr>
          <w:rFonts w:ascii="Calibri" w:hAnsi="Calibri"/>
          <w:sz w:val="22"/>
          <w:szCs w:val="22"/>
        </w:rPr>
        <w:t>. Jedinična naknada za smanjenje količine miješanog komunalnog otpada za 2017. i 2018. godinu iznosi 100,00 kuna po toni, za 2019. i 2020. godinu iznosi 150,00 kuna, a za 2021. i 2022. godinu iznosi 200,00 kuna.</w:t>
      </w:r>
    </w:p>
    <w:p w:rsidR="00F30C0C" w:rsidRDefault="00F30C0C" w:rsidP="00F30C0C">
      <w:pPr>
        <w:jc w:val="both"/>
        <w:rPr>
          <w:rFonts w:ascii="Calibri" w:hAnsi="Calibri"/>
          <w:sz w:val="22"/>
          <w:szCs w:val="22"/>
        </w:rPr>
      </w:pPr>
    </w:p>
    <w:p w:rsidR="00F30C0C" w:rsidRDefault="00F30C0C" w:rsidP="00C1222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Na području Međimurja, posebice Grada Čakovca</w:t>
      </w:r>
      <w:r w:rsidR="00057FE0">
        <w:rPr>
          <w:rFonts w:ascii="Calibri" w:hAnsi="Calibri"/>
          <w:sz w:val="22"/>
          <w:szCs w:val="22"/>
        </w:rPr>
        <w:t>, općine Strahoninec i Šenkovec te općina Nedelišće, Orehovica</w:t>
      </w:r>
      <w:r>
        <w:rPr>
          <w:rFonts w:ascii="Calibri" w:hAnsi="Calibri"/>
          <w:sz w:val="22"/>
          <w:szCs w:val="22"/>
        </w:rPr>
        <w:t xml:space="preserve"> i Štrigova, gdje uslugu prikupljanja i odlaganja otpada obavlja GKP ČAKOM, za razliku od većine ostalih hrvatskih jedinica lokalne samouprave, već 2015. godine 40 i više posto otpada bilo je razvrstano. Zbog ekološke svijesti naših građana, višegodišnjeg provođenja projekata koji su za cilj imali smanjenje proizvedenog i na odlagališta deponiranog otpada te velikog postotka otpada poslanog na reciklažu, ovom Uredbom smo u stvari kažnjeni. </w:t>
      </w:r>
    </w:p>
    <w:p w:rsidR="00F30C0C" w:rsidRDefault="00F30C0C" w:rsidP="00C1222C">
      <w:pPr>
        <w:jc w:val="both"/>
        <w:rPr>
          <w:rFonts w:ascii="Calibri" w:hAnsi="Calibri"/>
          <w:sz w:val="22"/>
          <w:szCs w:val="22"/>
        </w:rPr>
      </w:pPr>
    </w:p>
    <w:p w:rsidR="007402ED" w:rsidRDefault="00F30C0C" w:rsidP="00F30C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Naime, osim što u obzir nisu uzeti </w:t>
      </w:r>
      <w:r w:rsidR="007402ED">
        <w:rPr>
          <w:rFonts w:ascii="Calibri" w:hAnsi="Calibri"/>
          <w:sz w:val="22"/>
          <w:szCs w:val="22"/>
        </w:rPr>
        <w:t xml:space="preserve">rezultati postignuti u gospodarenju otpadom do te referentne 2015. godine i nagrađene sredine poput naših, stvoren je </w:t>
      </w:r>
      <w:r w:rsidRPr="00CA7438">
        <w:rPr>
          <w:rFonts w:ascii="Calibri" w:hAnsi="Calibri"/>
          <w:sz w:val="22"/>
          <w:szCs w:val="22"/>
        </w:rPr>
        <w:t xml:space="preserve">problem </w:t>
      </w:r>
      <w:r w:rsidR="007402ED">
        <w:rPr>
          <w:rFonts w:ascii="Calibri" w:hAnsi="Calibri"/>
          <w:sz w:val="22"/>
          <w:szCs w:val="22"/>
        </w:rPr>
        <w:t xml:space="preserve">jer je kod nas </w:t>
      </w:r>
      <w:r w:rsidRPr="00CA7438">
        <w:rPr>
          <w:rFonts w:ascii="Calibri" w:hAnsi="Calibri"/>
          <w:sz w:val="22"/>
          <w:szCs w:val="22"/>
        </w:rPr>
        <w:t>postizanje većeg</w:t>
      </w:r>
      <w:r>
        <w:rPr>
          <w:rFonts w:ascii="Calibri" w:hAnsi="Calibri"/>
          <w:sz w:val="22"/>
          <w:szCs w:val="22"/>
        </w:rPr>
        <w:t xml:space="preserve"> stupnja izdvajanja</w:t>
      </w:r>
      <w:r w:rsidRPr="00CA7438">
        <w:rPr>
          <w:rFonts w:ascii="Calibri" w:hAnsi="Calibri"/>
          <w:sz w:val="22"/>
          <w:szCs w:val="22"/>
        </w:rPr>
        <w:t xml:space="preserve"> </w:t>
      </w:r>
      <w:r w:rsidR="0038368D">
        <w:rPr>
          <w:rFonts w:ascii="Calibri" w:hAnsi="Calibri"/>
          <w:sz w:val="22"/>
          <w:szCs w:val="22"/>
        </w:rPr>
        <w:t>puno teže, neg</w:t>
      </w:r>
      <w:bookmarkStart w:id="0" w:name="_GoBack"/>
      <w:bookmarkEnd w:id="0"/>
      <w:r w:rsidR="007402ED">
        <w:rPr>
          <w:rFonts w:ascii="Calibri" w:hAnsi="Calibri"/>
          <w:sz w:val="22"/>
          <w:szCs w:val="22"/>
        </w:rPr>
        <w:t xml:space="preserve">o u primjerice sredinama na jugu Hrvatske koje još danas uopće ne razvrstavaju otpad. </w:t>
      </w:r>
      <w:r w:rsidR="00580A5A" w:rsidRPr="00CA7438">
        <w:rPr>
          <w:rFonts w:ascii="Calibri" w:hAnsi="Calibri"/>
          <w:sz w:val="22"/>
          <w:szCs w:val="22"/>
        </w:rPr>
        <w:t xml:space="preserve">Stručna javnost kao i </w:t>
      </w:r>
      <w:r w:rsidR="00580A5A">
        <w:rPr>
          <w:rFonts w:ascii="Calibri" w:hAnsi="Calibri"/>
          <w:sz w:val="22"/>
          <w:szCs w:val="22"/>
        </w:rPr>
        <w:t>gradovi i općine</w:t>
      </w:r>
      <w:r w:rsidR="00580A5A" w:rsidRPr="00CA7438">
        <w:rPr>
          <w:rFonts w:ascii="Calibri" w:hAnsi="Calibri"/>
          <w:sz w:val="22"/>
          <w:szCs w:val="22"/>
        </w:rPr>
        <w:t xml:space="preserve"> </w:t>
      </w:r>
      <w:r w:rsidR="00580A5A">
        <w:rPr>
          <w:rFonts w:ascii="Calibri" w:hAnsi="Calibri"/>
          <w:sz w:val="22"/>
          <w:szCs w:val="22"/>
        </w:rPr>
        <w:t xml:space="preserve">koji su predvodnici u zbrinjavanju otpada, </w:t>
      </w:r>
      <w:r w:rsidR="00580A5A" w:rsidRPr="00CA7438">
        <w:rPr>
          <w:rFonts w:ascii="Calibri" w:hAnsi="Calibri"/>
          <w:sz w:val="22"/>
          <w:szCs w:val="22"/>
        </w:rPr>
        <w:t xml:space="preserve">višekratno </w:t>
      </w:r>
      <w:r w:rsidR="00580A5A">
        <w:rPr>
          <w:rFonts w:ascii="Calibri" w:hAnsi="Calibri"/>
          <w:sz w:val="22"/>
          <w:szCs w:val="22"/>
        </w:rPr>
        <w:t xml:space="preserve">su </w:t>
      </w:r>
      <w:r w:rsidR="00580A5A" w:rsidRPr="00CA7438">
        <w:rPr>
          <w:rFonts w:ascii="Calibri" w:hAnsi="Calibri"/>
          <w:sz w:val="22"/>
          <w:szCs w:val="22"/>
        </w:rPr>
        <w:t>upozorili Ministarstvo zaštite okoliša i energetike, Fond za zaštitu okoliša i energetsku učinkovitost na loše određenje glede načina utvrđivanja poticajne naknade za smanjenje količine miješanog komunalnog otpada.</w:t>
      </w:r>
      <w:r w:rsidR="00580A5A">
        <w:rPr>
          <w:rFonts w:ascii="Calibri" w:hAnsi="Calibri"/>
          <w:sz w:val="22"/>
          <w:szCs w:val="22"/>
        </w:rPr>
        <w:t xml:space="preserve"> Na žalost, uzalud.</w:t>
      </w:r>
    </w:p>
    <w:p w:rsidR="00580A5A" w:rsidRDefault="00580A5A" w:rsidP="00F30C0C">
      <w:pPr>
        <w:jc w:val="both"/>
        <w:rPr>
          <w:rFonts w:ascii="Calibri" w:hAnsi="Calibri"/>
          <w:sz w:val="22"/>
          <w:szCs w:val="22"/>
        </w:rPr>
      </w:pPr>
    </w:p>
    <w:p w:rsidR="00580A5A" w:rsidRDefault="00580A5A" w:rsidP="00F30C0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Umjesto da se nagrade oni koji su na ovom području odmakli ispred ostalih, koji već sad imaju rezultate usporedive s razvijenijim zemljama Europske unije, čini se upravo suprotno. </w:t>
      </w:r>
      <w:r w:rsidR="003D5EE8">
        <w:rPr>
          <w:rFonts w:ascii="Calibri" w:hAnsi="Calibri"/>
          <w:sz w:val="22"/>
          <w:szCs w:val="22"/>
        </w:rPr>
        <w:t>Šalje se iznimno loša poruka našim stanovnicima te ih se u stvari kažnjava zbog toga što marljivo razvrstavaju otpad i čuvaju okoliš u kojem žive. S druge strane, n</w:t>
      </w:r>
      <w:r>
        <w:rPr>
          <w:rFonts w:ascii="Calibri" w:hAnsi="Calibri"/>
          <w:sz w:val="22"/>
          <w:szCs w:val="22"/>
        </w:rPr>
        <w:t xml:space="preserve">agrađuju se oni koji su, u najvećem broju zbog nemara i neosjetljivosti za </w:t>
      </w:r>
      <w:r w:rsidR="003D5EE8">
        <w:rPr>
          <w:rFonts w:ascii="Calibri" w:hAnsi="Calibri"/>
          <w:sz w:val="22"/>
          <w:szCs w:val="22"/>
        </w:rPr>
        <w:t>ekologiju</w:t>
      </w:r>
      <w:r>
        <w:rPr>
          <w:rFonts w:ascii="Calibri" w:hAnsi="Calibri"/>
          <w:sz w:val="22"/>
          <w:szCs w:val="22"/>
        </w:rPr>
        <w:t xml:space="preserve">, čekali zadnji trenutak za provođenje bilo kakvih projekata usmjerenih na čuvanje okoliša </w:t>
      </w:r>
      <w:r w:rsidR="003D5EE8">
        <w:rPr>
          <w:rFonts w:ascii="Calibri" w:hAnsi="Calibri"/>
          <w:sz w:val="22"/>
          <w:szCs w:val="22"/>
        </w:rPr>
        <w:t xml:space="preserve">ili smanjenje otpada koji se odlaže na odlagalištima. </w:t>
      </w:r>
      <w:r>
        <w:rPr>
          <w:rFonts w:ascii="Calibri" w:hAnsi="Calibri"/>
          <w:sz w:val="22"/>
          <w:szCs w:val="22"/>
        </w:rPr>
        <w:t xml:space="preserve">Stoga, izravno odgovorni za sva poskupljenja koja će nastupiti ukoliko se sporna odluka ne ukine ili promijeni bit će predlagači zakona, odnosno Ministarstvo zaštite okoliša i energetike te Fond za zaštitu okoliša i energetsku učinkovitost. </w:t>
      </w:r>
    </w:p>
    <w:p w:rsidR="007402ED" w:rsidRDefault="007402ED" w:rsidP="00F30C0C">
      <w:pPr>
        <w:jc w:val="both"/>
        <w:rPr>
          <w:rFonts w:ascii="Calibri" w:hAnsi="Calibri"/>
          <w:sz w:val="22"/>
          <w:szCs w:val="22"/>
        </w:rPr>
      </w:pPr>
    </w:p>
    <w:p w:rsidR="00411960" w:rsidRPr="00CA7438" w:rsidRDefault="00CA7438">
      <w:r>
        <w:rPr>
          <w:rFonts w:ascii="Calibri" w:hAnsi="Calibri"/>
          <w:sz w:val="22"/>
          <w:szCs w:val="22"/>
        </w:rPr>
        <w:t>U Čakovcu, 30. travnja 2019. godine.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Grad Čakovec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Strahoninec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Šenkovec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Mala Subotica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Orehovica</w:t>
      </w:r>
    </w:p>
    <w:p w:rsidR="00411960" w:rsidRP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Nedelišće</w:t>
      </w:r>
    </w:p>
    <w:p w:rsidR="00CA7438" w:rsidRDefault="00411960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Općina Štrigova</w:t>
      </w:r>
    </w:p>
    <w:p w:rsidR="00CA7438" w:rsidRPr="00CA7438" w:rsidRDefault="00CA7438" w:rsidP="00CA7438">
      <w:pPr>
        <w:jc w:val="right"/>
        <w:rPr>
          <w:rFonts w:ascii="Calibri" w:hAnsi="Calibri"/>
          <w:sz w:val="22"/>
          <w:szCs w:val="22"/>
        </w:rPr>
      </w:pPr>
      <w:r w:rsidRPr="00CA7438">
        <w:rPr>
          <w:rFonts w:ascii="Calibri" w:hAnsi="Calibri"/>
          <w:sz w:val="22"/>
          <w:szCs w:val="22"/>
        </w:rPr>
        <w:t>GKP ČAKOM d.o.o.</w:t>
      </w:r>
    </w:p>
    <w:sectPr w:rsidR="00CA7438" w:rsidRPr="00CA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4A0"/>
    <w:rsid w:val="00057FE0"/>
    <w:rsid w:val="00313002"/>
    <w:rsid w:val="0038368D"/>
    <w:rsid w:val="00394BCA"/>
    <w:rsid w:val="003D5EE8"/>
    <w:rsid w:val="00411960"/>
    <w:rsid w:val="00532E24"/>
    <w:rsid w:val="00580A5A"/>
    <w:rsid w:val="00683FC4"/>
    <w:rsid w:val="007402ED"/>
    <w:rsid w:val="00AE2987"/>
    <w:rsid w:val="00B456C2"/>
    <w:rsid w:val="00C1222C"/>
    <w:rsid w:val="00CA7438"/>
    <w:rsid w:val="00CF74A0"/>
    <w:rsid w:val="00F22940"/>
    <w:rsid w:val="00F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2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2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 Cakom</dc:creator>
  <cp:lastModifiedBy>GKP Cakom</cp:lastModifiedBy>
  <cp:revision>3</cp:revision>
  <dcterms:created xsi:type="dcterms:W3CDTF">2019-04-30T11:02:00Z</dcterms:created>
  <dcterms:modified xsi:type="dcterms:W3CDTF">2019-05-02T07:38:00Z</dcterms:modified>
</cp:coreProperties>
</file>