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DEAA" w14:textId="4EFDB28B" w:rsidR="00E74FDF" w:rsidRPr="000A2EE0" w:rsidRDefault="00E74FDF" w:rsidP="003B53F4">
      <w:pPr>
        <w:spacing w:line="276" w:lineRule="auto"/>
        <w:jc w:val="both"/>
        <w:rPr>
          <w:rFonts w:ascii="Times New Roman" w:hAnsi="Times New Roman" w:cs="Times New Roman"/>
          <w:sz w:val="24"/>
          <w:szCs w:val="24"/>
        </w:rPr>
      </w:pPr>
      <w:r w:rsidRPr="000A2EE0">
        <w:rPr>
          <w:b/>
          <w:color w:val="000000"/>
          <w:sz w:val="24"/>
          <w:szCs w:val="24"/>
        </w:rPr>
        <w:drawing>
          <wp:inline distT="0" distB="0" distL="0" distR="0" wp14:anchorId="1DF128ED" wp14:editId="43535BCD">
            <wp:extent cx="1876425" cy="1447800"/>
            <wp:effectExtent l="0" t="0" r="9525" b="0"/>
            <wp:docPr id="14146539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447800"/>
                    </a:xfrm>
                    <a:prstGeom prst="rect">
                      <a:avLst/>
                    </a:prstGeom>
                    <a:noFill/>
                    <a:ln>
                      <a:noFill/>
                    </a:ln>
                  </pic:spPr>
                </pic:pic>
              </a:graphicData>
            </a:graphic>
          </wp:inline>
        </w:drawing>
      </w:r>
    </w:p>
    <w:p w14:paraId="324D6B17" w14:textId="77777777" w:rsidR="00E74FDF" w:rsidRPr="000A2EE0" w:rsidRDefault="00E74FDF" w:rsidP="003B53F4">
      <w:pPr>
        <w:spacing w:line="276" w:lineRule="auto"/>
        <w:jc w:val="both"/>
        <w:rPr>
          <w:rFonts w:ascii="Times New Roman" w:hAnsi="Times New Roman" w:cs="Times New Roman"/>
          <w:sz w:val="24"/>
          <w:szCs w:val="24"/>
        </w:rPr>
      </w:pPr>
    </w:p>
    <w:p w14:paraId="265894D3" w14:textId="77777777" w:rsidR="008404D4" w:rsidRDefault="008404D4" w:rsidP="003B53F4">
      <w:pPr>
        <w:spacing w:line="276" w:lineRule="auto"/>
        <w:jc w:val="both"/>
        <w:rPr>
          <w:rFonts w:ascii="Times New Roman" w:hAnsi="Times New Roman" w:cs="Times New Roman"/>
          <w:sz w:val="24"/>
          <w:szCs w:val="24"/>
        </w:rPr>
      </w:pPr>
    </w:p>
    <w:p w14:paraId="45B3DD5B" w14:textId="77777777" w:rsidR="00C24892" w:rsidRDefault="00C24892" w:rsidP="003B53F4">
      <w:pPr>
        <w:spacing w:line="276" w:lineRule="auto"/>
        <w:jc w:val="both"/>
        <w:rPr>
          <w:rFonts w:ascii="Times New Roman" w:hAnsi="Times New Roman" w:cs="Times New Roman"/>
          <w:sz w:val="24"/>
          <w:szCs w:val="24"/>
        </w:rPr>
      </w:pPr>
    </w:p>
    <w:p w14:paraId="6CD9BF93" w14:textId="77777777" w:rsidR="00C24892" w:rsidRDefault="00C24892" w:rsidP="003B53F4">
      <w:pPr>
        <w:spacing w:line="276" w:lineRule="auto"/>
        <w:jc w:val="both"/>
        <w:rPr>
          <w:rFonts w:ascii="Times New Roman" w:hAnsi="Times New Roman" w:cs="Times New Roman"/>
          <w:sz w:val="24"/>
          <w:szCs w:val="24"/>
        </w:rPr>
      </w:pPr>
    </w:p>
    <w:p w14:paraId="47813248" w14:textId="77777777" w:rsidR="00C24892" w:rsidRDefault="00C24892" w:rsidP="003B53F4">
      <w:pPr>
        <w:spacing w:line="276" w:lineRule="auto"/>
        <w:jc w:val="both"/>
        <w:rPr>
          <w:rFonts w:ascii="Times New Roman" w:hAnsi="Times New Roman" w:cs="Times New Roman"/>
          <w:sz w:val="24"/>
          <w:szCs w:val="24"/>
        </w:rPr>
      </w:pPr>
    </w:p>
    <w:p w14:paraId="49278361" w14:textId="77777777" w:rsidR="00C24892" w:rsidRDefault="00C24892" w:rsidP="003B53F4">
      <w:pPr>
        <w:spacing w:line="276" w:lineRule="auto"/>
        <w:jc w:val="both"/>
        <w:rPr>
          <w:rFonts w:ascii="Times New Roman" w:hAnsi="Times New Roman" w:cs="Times New Roman"/>
          <w:sz w:val="24"/>
          <w:szCs w:val="24"/>
        </w:rPr>
      </w:pPr>
    </w:p>
    <w:p w14:paraId="5BC27656" w14:textId="53E2FC80" w:rsidR="00C24892" w:rsidRPr="000A2EE0" w:rsidRDefault="00185ED2" w:rsidP="00185ED2">
      <w:pPr>
        <w:tabs>
          <w:tab w:val="left" w:pos="7020"/>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7BABFBB5" w14:textId="77777777" w:rsidR="008404D4" w:rsidRPr="000A2EE0" w:rsidRDefault="008404D4" w:rsidP="00EF4B60">
      <w:pPr>
        <w:spacing w:line="276" w:lineRule="auto"/>
        <w:jc w:val="center"/>
        <w:rPr>
          <w:rFonts w:ascii="Times New Roman" w:hAnsi="Times New Roman" w:cs="Times New Roman"/>
          <w:sz w:val="24"/>
          <w:szCs w:val="24"/>
        </w:rPr>
      </w:pPr>
    </w:p>
    <w:p w14:paraId="4CA50CF4" w14:textId="21976786" w:rsidR="00A64C4A" w:rsidRDefault="008404D4" w:rsidP="00EF4B60">
      <w:pPr>
        <w:spacing w:line="276" w:lineRule="auto"/>
        <w:jc w:val="center"/>
        <w:rPr>
          <w:rFonts w:ascii="Times New Roman" w:hAnsi="Times New Roman" w:cs="Times New Roman"/>
          <w:b/>
          <w:bCs/>
          <w:sz w:val="56"/>
          <w:szCs w:val="56"/>
        </w:rPr>
      </w:pPr>
      <w:r w:rsidRPr="0081533F">
        <w:rPr>
          <w:rFonts w:ascii="Times New Roman" w:hAnsi="Times New Roman" w:cs="Times New Roman"/>
          <w:b/>
          <w:bCs/>
          <w:sz w:val="56"/>
          <w:szCs w:val="56"/>
        </w:rPr>
        <w:t>STRATEŠK</w:t>
      </w:r>
      <w:r w:rsidR="007774EE">
        <w:rPr>
          <w:rFonts w:ascii="Times New Roman" w:hAnsi="Times New Roman" w:cs="Times New Roman"/>
          <w:b/>
          <w:bCs/>
          <w:sz w:val="56"/>
          <w:szCs w:val="56"/>
        </w:rPr>
        <w:t>I</w:t>
      </w:r>
      <w:r w:rsidRPr="0081533F">
        <w:rPr>
          <w:rFonts w:ascii="Times New Roman" w:hAnsi="Times New Roman" w:cs="Times New Roman"/>
          <w:b/>
          <w:bCs/>
          <w:sz w:val="56"/>
          <w:szCs w:val="56"/>
        </w:rPr>
        <w:t xml:space="preserve"> PLAN</w:t>
      </w:r>
    </w:p>
    <w:p w14:paraId="4CFF8D6B" w14:textId="02D30F15" w:rsidR="008404D4" w:rsidRPr="0081533F" w:rsidRDefault="008404D4" w:rsidP="00EF4B60">
      <w:pPr>
        <w:spacing w:line="276" w:lineRule="auto"/>
        <w:jc w:val="center"/>
        <w:rPr>
          <w:rFonts w:ascii="Times New Roman" w:hAnsi="Times New Roman" w:cs="Times New Roman"/>
          <w:b/>
          <w:bCs/>
          <w:sz w:val="56"/>
          <w:szCs w:val="56"/>
        </w:rPr>
      </w:pPr>
      <w:r w:rsidRPr="0081533F">
        <w:rPr>
          <w:rFonts w:ascii="Times New Roman" w:hAnsi="Times New Roman" w:cs="Times New Roman"/>
          <w:b/>
          <w:bCs/>
          <w:sz w:val="56"/>
          <w:szCs w:val="56"/>
        </w:rPr>
        <w:t>ZA RAZDOBLJE 2023</w:t>
      </w:r>
      <w:r w:rsidR="00E74FDF" w:rsidRPr="0081533F">
        <w:rPr>
          <w:rFonts w:ascii="Times New Roman" w:hAnsi="Times New Roman" w:cs="Times New Roman"/>
          <w:b/>
          <w:bCs/>
          <w:sz w:val="56"/>
          <w:szCs w:val="56"/>
        </w:rPr>
        <w:t>.</w:t>
      </w:r>
      <w:r w:rsidRPr="0081533F">
        <w:rPr>
          <w:rFonts w:ascii="Times New Roman" w:hAnsi="Times New Roman" w:cs="Times New Roman"/>
          <w:b/>
          <w:bCs/>
          <w:sz w:val="56"/>
          <w:szCs w:val="56"/>
        </w:rPr>
        <w:t>-2026</w:t>
      </w:r>
      <w:r w:rsidR="00E74FDF" w:rsidRPr="0081533F">
        <w:rPr>
          <w:rFonts w:ascii="Times New Roman" w:hAnsi="Times New Roman" w:cs="Times New Roman"/>
          <w:b/>
          <w:bCs/>
          <w:sz w:val="56"/>
          <w:szCs w:val="56"/>
        </w:rPr>
        <w:t>.</w:t>
      </w:r>
    </w:p>
    <w:p w14:paraId="02FEB46B" w14:textId="32C4D813" w:rsidR="008404D4" w:rsidRPr="009B3684" w:rsidRDefault="007774EE" w:rsidP="00EF4B60">
      <w:pPr>
        <w:pStyle w:val="Odlomakpopisa"/>
        <w:numPr>
          <w:ilvl w:val="0"/>
          <w:numId w:val="44"/>
        </w:numPr>
        <w:tabs>
          <w:tab w:val="left" w:pos="2340"/>
        </w:tabs>
        <w:spacing w:line="276" w:lineRule="auto"/>
        <w:rPr>
          <w:rFonts w:ascii="Times New Roman" w:hAnsi="Times New Roman"/>
          <w:b/>
          <w:bCs/>
          <w:sz w:val="56"/>
          <w:szCs w:val="56"/>
        </w:rPr>
      </w:pPr>
      <w:r w:rsidRPr="009B3684">
        <w:rPr>
          <w:rFonts w:ascii="Times New Roman" w:hAnsi="Times New Roman"/>
          <w:b/>
          <w:bCs/>
          <w:sz w:val="56"/>
          <w:szCs w:val="56"/>
        </w:rPr>
        <w:t>IZVADAK -</w:t>
      </w:r>
    </w:p>
    <w:p w14:paraId="6B79AF2C" w14:textId="77777777" w:rsidR="008404D4" w:rsidRPr="000A2EE0" w:rsidRDefault="008404D4" w:rsidP="00EF4B60">
      <w:pPr>
        <w:spacing w:line="276" w:lineRule="auto"/>
        <w:jc w:val="center"/>
        <w:rPr>
          <w:rFonts w:ascii="Times New Roman" w:hAnsi="Times New Roman" w:cs="Times New Roman"/>
          <w:sz w:val="24"/>
          <w:szCs w:val="24"/>
        </w:rPr>
      </w:pPr>
    </w:p>
    <w:p w14:paraId="274A007E" w14:textId="77777777" w:rsidR="00E74FDF" w:rsidRPr="000A2EE0" w:rsidRDefault="00E74FDF" w:rsidP="003B53F4">
      <w:pPr>
        <w:spacing w:line="276" w:lineRule="auto"/>
        <w:jc w:val="both"/>
        <w:rPr>
          <w:rFonts w:ascii="Times New Roman" w:hAnsi="Times New Roman" w:cs="Times New Roman"/>
          <w:sz w:val="24"/>
          <w:szCs w:val="24"/>
        </w:rPr>
      </w:pPr>
    </w:p>
    <w:p w14:paraId="44C96376" w14:textId="77777777" w:rsidR="00E74FDF" w:rsidRPr="000A2EE0" w:rsidRDefault="00E74FDF" w:rsidP="003B53F4">
      <w:pPr>
        <w:spacing w:line="276" w:lineRule="auto"/>
        <w:jc w:val="both"/>
        <w:rPr>
          <w:rFonts w:ascii="Times New Roman" w:hAnsi="Times New Roman" w:cs="Times New Roman"/>
          <w:sz w:val="24"/>
          <w:szCs w:val="24"/>
        </w:rPr>
      </w:pPr>
    </w:p>
    <w:p w14:paraId="0B5A2C48" w14:textId="77777777" w:rsidR="00E74FDF" w:rsidRPr="000A2EE0" w:rsidRDefault="00E74FDF" w:rsidP="003B53F4">
      <w:pPr>
        <w:spacing w:line="276" w:lineRule="auto"/>
        <w:jc w:val="both"/>
        <w:rPr>
          <w:rFonts w:ascii="Times New Roman" w:hAnsi="Times New Roman" w:cs="Times New Roman"/>
          <w:sz w:val="24"/>
          <w:szCs w:val="24"/>
        </w:rPr>
      </w:pPr>
    </w:p>
    <w:p w14:paraId="40CBBEC8" w14:textId="77777777" w:rsidR="00E74FDF" w:rsidRPr="000A2EE0" w:rsidRDefault="00E74FDF" w:rsidP="003B53F4">
      <w:pPr>
        <w:spacing w:line="276" w:lineRule="auto"/>
        <w:jc w:val="both"/>
        <w:rPr>
          <w:rFonts w:ascii="Times New Roman" w:hAnsi="Times New Roman" w:cs="Times New Roman"/>
          <w:sz w:val="24"/>
          <w:szCs w:val="24"/>
        </w:rPr>
      </w:pPr>
    </w:p>
    <w:p w14:paraId="31925351" w14:textId="77777777" w:rsidR="00E74FDF" w:rsidRPr="000A2EE0" w:rsidRDefault="00E74FDF" w:rsidP="003B53F4">
      <w:pPr>
        <w:spacing w:line="276" w:lineRule="auto"/>
        <w:jc w:val="both"/>
        <w:rPr>
          <w:rFonts w:ascii="Times New Roman" w:hAnsi="Times New Roman" w:cs="Times New Roman"/>
          <w:sz w:val="24"/>
          <w:szCs w:val="24"/>
        </w:rPr>
      </w:pPr>
    </w:p>
    <w:p w14:paraId="077326EF" w14:textId="77777777" w:rsidR="00E74FDF" w:rsidRPr="000A2EE0" w:rsidRDefault="00E74FDF" w:rsidP="003B53F4">
      <w:pPr>
        <w:spacing w:line="276" w:lineRule="auto"/>
        <w:jc w:val="both"/>
        <w:rPr>
          <w:rFonts w:ascii="Times New Roman" w:hAnsi="Times New Roman" w:cs="Times New Roman"/>
          <w:sz w:val="24"/>
          <w:szCs w:val="24"/>
        </w:rPr>
      </w:pPr>
    </w:p>
    <w:p w14:paraId="23C147A7" w14:textId="77777777" w:rsidR="00E74FDF" w:rsidRPr="000A2EE0" w:rsidRDefault="00E74FDF" w:rsidP="003B53F4">
      <w:pPr>
        <w:spacing w:line="276" w:lineRule="auto"/>
        <w:jc w:val="both"/>
        <w:rPr>
          <w:rFonts w:ascii="Times New Roman" w:hAnsi="Times New Roman" w:cs="Times New Roman"/>
          <w:sz w:val="24"/>
          <w:szCs w:val="24"/>
        </w:rPr>
      </w:pPr>
    </w:p>
    <w:p w14:paraId="518E2B95" w14:textId="77777777" w:rsidR="00E74FDF" w:rsidRPr="000A2EE0" w:rsidRDefault="00E74FDF" w:rsidP="003B53F4">
      <w:pPr>
        <w:spacing w:line="276" w:lineRule="auto"/>
        <w:jc w:val="both"/>
        <w:rPr>
          <w:rFonts w:ascii="Times New Roman" w:hAnsi="Times New Roman" w:cs="Times New Roman"/>
          <w:sz w:val="24"/>
          <w:szCs w:val="24"/>
        </w:rPr>
      </w:pPr>
    </w:p>
    <w:p w14:paraId="2348CE05" w14:textId="77777777" w:rsidR="008404D4" w:rsidRPr="000A2EE0" w:rsidRDefault="008404D4" w:rsidP="003B53F4">
      <w:pPr>
        <w:spacing w:line="276" w:lineRule="auto"/>
        <w:jc w:val="both"/>
        <w:rPr>
          <w:rFonts w:ascii="Times New Roman" w:hAnsi="Times New Roman" w:cs="Times New Roman"/>
          <w:sz w:val="24"/>
          <w:szCs w:val="24"/>
        </w:rPr>
      </w:pPr>
    </w:p>
    <w:p w14:paraId="18DE7F49" w14:textId="0AB4FEFD" w:rsidR="008404D4" w:rsidRPr="000A2EE0" w:rsidRDefault="008404D4" w:rsidP="003B53F4">
      <w:pPr>
        <w:spacing w:line="276" w:lineRule="auto"/>
        <w:jc w:val="center"/>
        <w:rPr>
          <w:rFonts w:ascii="Times New Roman" w:hAnsi="Times New Roman" w:cs="Times New Roman"/>
          <w:sz w:val="24"/>
          <w:szCs w:val="24"/>
        </w:rPr>
      </w:pPr>
      <w:r w:rsidRPr="000A2EE0">
        <w:rPr>
          <w:rFonts w:ascii="Times New Roman" w:hAnsi="Times New Roman" w:cs="Times New Roman"/>
          <w:sz w:val="24"/>
          <w:szCs w:val="24"/>
        </w:rPr>
        <w:t>Mihovlja</w:t>
      </w:r>
      <w:r w:rsidR="00A107E8" w:rsidRPr="000A2EE0">
        <w:rPr>
          <w:rFonts w:ascii="Times New Roman" w:hAnsi="Times New Roman" w:cs="Times New Roman"/>
          <w:sz w:val="24"/>
          <w:szCs w:val="24"/>
        </w:rPr>
        <w:t>n</w:t>
      </w:r>
      <w:r w:rsidRPr="000A2EE0">
        <w:rPr>
          <w:rFonts w:ascii="Times New Roman" w:hAnsi="Times New Roman" w:cs="Times New Roman"/>
          <w:sz w:val="24"/>
          <w:szCs w:val="24"/>
        </w:rPr>
        <w:t>, travanj 2023. godine</w:t>
      </w:r>
    </w:p>
    <w:p w14:paraId="304DA16D" w14:textId="1DAB24C3" w:rsidR="008404D4" w:rsidRPr="00FB3BAC" w:rsidRDefault="007073CE" w:rsidP="00F84CAA">
      <w:pPr>
        <w:pStyle w:val="Naslov1"/>
        <w:numPr>
          <w:ilvl w:val="0"/>
          <w:numId w:val="32"/>
        </w:numPr>
        <w:rPr>
          <w:rFonts w:cs="Times New Roman"/>
        </w:rPr>
      </w:pPr>
      <w:bookmarkStart w:id="0" w:name="_Toc149821385"/>
      <w:r w:rsidRPr="00FB3BAC">
        <w:rPr>
          <w:rFonts w:cs="Times New Roman"/>
        </w:rPr>
        <w:lastRenderedPageBreak/>
        <w:t>UVOD</w:t>
      </w:r>
      <w:bookmarkEnd w:id="0"/>
      <w:r w:rsidRPr="00FB3BAC">
        <w:rPr>
          <w:rFonts w:cs="Times New Roman"/>
        </w:rPr>
        <w:t xml:space="preserve"> </w:t>
      </w:r>
    </w:p>
    <w:p w14:paraId="27E3F11B" w14:textId="77777777" w:rsidR="007073CE" w:rsidRDefault="007073CE" w:rsidP="003B53F4">
      <w:pPr>
        <w:spacing w:line="276" w:lineRule="auto"/>
      </w:pPr>
    </w:p>
    <w:p w14:paraId="2F60B4A3" w14:textId="739EEA19" w:rsidR="00584EC4" w:rsidRPr="00225C48" w:rsidRDefault="007073CE" w:rsidP="00D71B06">
      <w:pPr>
        <w:spacing w:after="0" w:line="276" w:lineRule="auto"/>
        <w:jc w:val="both"/>
        <w:rPr>
          <w:rFonts w:ascii="Times New Roman" w:hAnsi="Times New Roman" w:cs="Times New Roman"/>
          <w:sz w:val="24"/>
          <w:szCs w:val="24"/>
        </w:rPr>
      </w:pPr>
      <w:r w:rsidRPr="00225C48">
        <w:rPr>
          <w:rFonts w:ascii="Times New Roman" w:hAnsi="Times New Roman" w:cs="Times New Roman"/>
          <w:sz w:val="24"/>
          <w:szCs w:val="24"/>
        </w:rPr>
        <w:t>Strateš</w:t>
      </w:r>
      <w:r w:rsidR="0081533F" w:rsidRPr="00225C48">
        <w:rPr>
          <w:rFonts w:ascii="Times New Roman" w:hAnsi="Times New Roman" w:cs="Times New Roman"/>
          <w:sz w:val="24"/>
          <w:szCs w:val="24"/>
        </w:rPr>
        <w:t>ki plan predstavlja pristup cjelokupnom poslovnom upravljanju Društva</w:t>
      </w:r>
      <w:r w:rsidR="001A77C4" w:rsidRPr="00225C48">
        <w:rPr>
          <w:rFonts w:ascii="Times New Roman" w:hAnsi="Times New Roman" w:cs="Times New Roman"/>
          <w:sz w:val="24"/>
          <w:szCs w:val="24"/>
        </w:rPr>
        <w:t>.</w:t>
      </w:r>
      <w:r w:rsidR="005025A2" w:rsidRPr="00225C48">
        <w:rPr>
          <w:rFonts w:ascii="Times New Roman" w:hAnsi="Times New Roman" w:cs="Times New Roman"/>
          <w:sz w:val="24"/>
          <w:szCs w:val="24"/>
        </w:rPr>
        <w:t xml:space="preserve"> Kao element strateškog upravljanja, Strateški plan određuje</w:t>
      </w:r>
      <w:r w:rsidR="004155C3">
        <w:rPr>
          <w:rFonts w:ascii="Times New Roman" w:hAnsi="Times New Roman" w:cs="Times New Roman"/>
          <w:sz w:val="24"/>
          <w:szCs w:val="24"/>
        </w:rPr>
        <w:t xml:space="preserve"> </w:t>
      </w:r>
      <w:r w:rsidR="005025A2" w:rsidRPr="00225C48">
        <w:rPr>
          <w:rFonts w:ascii="Times New Roman" w:hAnsi="Times New Roman" w:cs="Times New Roman"/>
          <w:sz w:val="24"/>
          <w:szCs w:val="24"/>
        </w:rPr>
        <w:t>smjer kretanja Društva</w:t>
      </w:r>
      <w:r w:rsidR="00D37224" w:rsidRPr="00225C48">
        <w:rPr>
          <w:rFonts w:ascii="Times New Roman" w:hAnsi="Times New Roman" w:cs="Times New Roman"/>
          <w:sz w:val="24"/>
          <w:szCs w:val="24"/>
        </w:rPr>
        <w:t xml:space="preserve"> </w:t>
      </w:r>
      <w:r w:rsidR="00225C48">
        <w:rPr>
          <w:rFonts w:ascii="Times New Roman" w:hAnsi="Times New Roman" w:cs="Times New Roman"/>
          <w:sz w:val="24"/>
          <w:szCs w:val="24"/>
        </w:rPr>
        <w:t xml:space="preserve">u budućem razdoblju </w:t>
      </w:r>
      <w:r w:rsidR="00975076">
        <w:rPr>
          <w:rFonts w:ascii="Times New Roman" w:hAnsi="Times New Roman" w:cs="Times New Roman"/>
          <w:sz w:val="24"/>
          <w:szCs w:val="24"/>
        </w:rPr>
        <w:t>te doprinosi ostvarenju</w:t>
      </w:r>
      <w:r w:rsidR="005025A2" w:rsidRPr="00225C48">
        <w:rPr>
          <w:rFonts w:ascii="Times New Roman" w:hAnsi="Times New Roman" w:cs="Times New Roman"/>
          <w:sz w:val="24"/>
          <w:szCs w:val="24"/>
        </w:rPr>
        <w:t xml:space="preserve"> vizije i misije Društva. </w:t>
      </w:r>
      <w:r w:rsidR="0081533F" w:rsidRPr="00225C48">
        <w:rPr>
          <w:rFonts w:ascii="Times New Roman" w:hAnsi="Times New Roman" w:cs="Times New Roman"/>
          <w:sz w:val="24"/>
          <w:szCs w:val="24"/>
        </w:rPr>
        <w:t xml:space="preserve">Osnovna pretpostavka strateškog </w:t>
      </w:r>
      <w:r w:rsidR="005025A2" w:rsidRPr="00225C48">
        <w:rPr>
          <w:rFonts w:ascii="Times New Roman" w:hAnsi="Times New Roman" w:cs="Times New Roman"/>
          <w:sz w:val="24"/>
          <w:szCs w:val="24"/>
        </w:rPr>
        <w:t>planiranja</w:t>
      </w:r>
      <w:r w:rsidR="0081533F" w:rsidRPr="00225C48">
        <w:rPr>
          <w:rFonts w:ascii="Times New Roman" w:hAnsi="Times New Roman" w:cs="Times New Roman"/>
          <w:sz w:val="24"/>
          <w:szCs w:val="24"/>
        </w:rPr>
        <w:t xml:space="preserve"> je </w:t>
      </w:r>
      <w:r w:rsidR="005025A2" w:rsidRPr="00225C48">
        <w:rPr>
          <w:rFonts w:ascii="Times New Roman" w:hAnsi="Times New Roman" w:cs="Times New Roman"/>
          <w:sz w:val="24"/>
          <w:szCs w:val="24"/>
        </w:rPr>
        <w:t xml:space="preserve">postavljanje </w:t>
      </w:r>
      <w:r w:rsidR="001A2646" w:rsidRPr="00225C48">
        <w:rPr>
          <w:rFonts w:ascii="Times New Roman" w:hAnsi="Times New Roman" w:cs="Times New Roman"/>
          <w:sz w:val="24"/>
          <w:szCs w:val="24"/>
        </w:rPr>
        <w:t>općih/strateških</w:t>
      </w:r>
      <w:r w:rsidR="005025A2" w:rsidRPr="00225C48">
        <w:rPr>
          <w:rFonts w:ascii="Times New Roman" w:hAnsi="Times New Roman" w:cs="Times New Roman"/>
          <w:sz w:val="24"/>
          <w:szCs w:val="24"/>
        </w:rPr>
        <w:t xml:space="preserve"> </w:t>
      </w:r>
      <w:r w:rsidR="001A2646" w:rsidRPr="00225C48">
        <w:rPr>
          <w:rFonts w:ascii="Times New Roman" w:hAnsi="Times New Roman" w:cs="Times New Roman"/>
          <w:sz w:val="24"/>
          <w:szCs w:val="24"/>
        </w:rPr>
        <w:t xml:space="preserve">i posebnih </w:t>
      </w:r>
      <w:r w:rsidR="005025A2" w:rsidRPr="00225C48">
        <w:rPr>
          <w:rFonts w:ascii="Times New Roman" w:hAnsi="Times New Roman" w:cs="Times New Roman"/>
          <w:sz w:val="24"/>
          <w:szCs w:val="24"/>
        </w:rPr>
        <w:t>ciljeva u budućem razdoblju</w:t>
      </w:r>
      <w:r w:rsidR="001A2646" w:rsidRPr="00225C48">
        <w:rPr>
          <w:rFonts w:ascii="Times New Roman" w:hAnsi="Times New Roman" w:cs="Times New Roman"/>
          <w:sz w:val="24"/>
          <w:szCs w:val="24"/>
        </w:rPr>
        <w:t xml:space="preserve"> uz ispravno planiranje, predviđanje i procjenu tijekova poslovanja</w:t>
      </w:r>
      <w:r w:rsidR="005025A2" w:rsidRPr="00225C48">
        <w:rPr>
          <w:rFonts w:ascii="Times New Roman" w:hAnsi="Times New Roman" w:cs="Times New Roman"/>
          <w:sz w:val="24"/>
          <w:szCs w:val="24"/>
        </w:rPr>
        <w:t xml:space="preserve"> te organiz</w:t>
      </w:r>
      <w:r w:rsidR="00033FA3" w:rsidRPr="00225C48">
        <w:rPr>
          <w:rFonts w:ascii="Times New Roman" w:hAnsi="Times New Roman" w:cs="Times New Roman"/>
          <w:sz w:val="24"/>
          <w:szCs w:val="24"/>
        </w:rPr>
        <w:t>acija</w:t>
      </w:r>
      <w:r w:rsidR="005025A2" w:rsidRPr="00225C48">
        <w:rPr>
          <w:rFonts w:ascii="Times New Roman" w:hAnsi="Times New Roman" w:cs="Times New Roman"/>
          <w:sz w:val="24"/>
          <w:szCs w:val="24"/>
        </w:rPr>
        <w:t xml:space="preserve"> i upravljanje svim potrebnim resursima (ljudskim, financijskim, tehničkim) </w:t>
      </w:r>
      <w:r w:rsidR="00A073CA" w:rsidRPr="00225C48">
        <w:rPr>
          <w:rFonts w:ascii="Times New Roman" w:hAnsi="Times New Roman" w:cs="Times New Roman"/>
          <w:sz w:val="24"/>
          <w:szCs w:val="24"/>
        </w:rPr>
        <w:t>u svrhu</w:t>
      </w:r>
      <w:r w:rsidR="005025A2" w:rsidRPr="00225C48">
        <w:rPr>
          <w:rFonts w:ascii="Times New Roman" w:hAnsi="Times New Roman" w:cs="Times New Roman"/>
          <w:sz w:val="24"/>
          <w:szCs w:val="24"/>
        </w:rPr>
        <w:t xml:space="preserve"> postignuća zadanih ciljeva.</w:t>
      </w:r>
      <w:r w:rsidR="00BA56F6" w:rsidRPr="00225C48">
        <w:rPr>
          <w:rFonts w:ascii="Times New Roman" w:hAnsi="Times New Roman" w:cs="Times New Roman"/>
          <w:sz w:val="24"/>
          <w:szCs w:val="24"/>
        </w:rPr>
        <w:t xml:space="preserve"> </w:t>
      </w:r>
    </w:p>
    <w:p w14:paraId="6795D251" w14:textId="77777777" w:rsidR="001817DB" w:rsidRPr="00225C48" w:rsidRDefault="001817DB" w:rsidP="006B5407">
      <w:pPr>
        <w:spacing w:after="0" w:line="276" w:lineRule="auto"/>
        <w:jc w:val="both"/>
        <w:rPr>
          <w:rFonts w:ascii="Times New Roman" w:hAnsi="Times New Roman" w:cs="Times New Roman"/>
          <w:sz w:val="24"/>
          <w:szCs w:val="24"/>
        </w:rPr>
      </w:pPr>
    </w:p>
    <w:p w14:paraId="1280E466" w14:textId="3287AF87" w:rsidR="00225C48" w:rsidRDefault="00584EC4" w:rsidP="006B5407">
      <w:pPr>
        <w:spacing w:after="0" w:line="276" w:lineRule="auto"/>
        <w:jc w:val="both"/>
        <w:rPr>
          <w:rFonts w:ascii="Times New Roman" w:hAnsi="Times New Roman" w:cs="Times New Roman"/>
          <w:sz w:val="24"/>
          <w:szCs w:val="24"/>
        </w:rPr>
      </w:pPr>
      <w:r w:rsidRPr="00225C48">
        <w:rPr>
          <w:rFonts w:ascii="Times New Roman" w:hAnsi="Times New Roman" w:cs="Times New Roman"/>
          <w:sz w:val="24"/>
          <w:szCs w:val="24"/>
        </w:rPr>
        <w:t>S</w:t>
      </w:r>
      <w:r w:rsidR="00D15041" w:rsidRPr="00225C48">
        <w:rPr>
          <w:rFonts w:ascii="Times New Roman" w:hAnsi="Times New Roman" w:cs="Times New Roman"/>
          <w:sz w:val="24"/>
          <w:szCs w:val="24"/>
        </w:rPr>
        <w:t>tratešk</w:t>
      </w:r>
      <w:r w:rsidRPr="00225C48">
        <w:rPr>
          <w:rFonts w:ascii="Times New Roman" w:hAnsi="Times New Roman" w:cs="Times New Roman"/>
          <w:sz w:val="24"/>
          <w:szCs w:val="24"/>
        </w:rPr>
        <w:t>im</w:t>
      </w:r>
      <w:r w:rsidR="00D15041" w:rsidRPr="00225C48">
        <w:rPr>
          <w:rFonts w:ascii="Times New Roman" w:hAnsi="Times New Roman" w:cs="Times New Roman"/>
          <w:sz w:val="24"/>
          <w:szCs w:val="24"/>
        </w:rPr>
        <w:t xml:space="preserve"> plan</w:t>
      </w:r>
      <w:r w:rsidRPr="00225C48">
        <w:rPr>
          <w:rFonts w:ascii="Times New Roman" w:hAnsi="Times New Roman" w:cs="Times New Roman"/>
          <w:sz w:val="24"/>
          <w:szCs w:val="24"/>
        </w:rPr>
        <w:t>om</w:t>
      </w:r>
      <w:r w:rsidR="00D15041" w:rsidRPr="00225C48">
        <w:rPr>
          <w:rFonts w:ascii="Times New Roman" w:hAnsi="Times New Roman" w:cs="Times New Roman"/>
          <w:sz w:val="24"/>
          <w:szCs w:val="24"/>
        </w:rPr>
        <w:t xml:space="preserve"> GKP ČAKOM d.o.o</w:t>
      </w:r>
      <w:r w:rsidR="00D37224" w:rsidRPr="00225C48">
        <w:rPr>
          <w:rFonts w:ascii="Times New Roman" w:hAnsi="Times New Roman" w:cs="Times New Roman"/>
          <w:sz w:val="24"/>
          <w:szCs w:val="24"/>
        </w:rPr>
        <w:t>.</w:t>
      </w:r>
      <w:r w:rsidR="001817DB" w:rsidRPr="00225C48">
        <w:rPr>
          <w:rFonts w:ascii="Times New Roman" w:hAnsi="Times New Roman" w:cs="Times New Roman"/>
          <w:sz w:val="24"/>
          <w:szCs w:val="24"/>
        </w:rPr>
        <w:t xml:space="preserve"> definirani </w:t>
      </w:r>
      <w:r w:rsidR="006B5407" w:rsidRPr="00225C48">
        <w:rPr>
          <w:rFonts w:ascii="Times New Roman" w:hAnsi="Times New Roman" w:cs="Times New Roman"/>
          <w:sz w:val="24"/>
          <w:szCs w:val="24"/>
        </w:rPr>
        <w:t xml:space="preserve">su </w:t>
      </w:r>
      <w:r w:rsidR="00D15041" w:rsidRPr="00225C48">
        <w:rPr>
          <w:rFonts w:ascii="Times New Roman" w:hAnsi="Times New Roman" w:cs="Times New Roman"/>
          <w:sz w:val="24"/>
          <w:szCs w:val="24"/>
        </w:rPr>
        <w:t>opći</w:t>
      </w:r>
      <w:r w:rsidR="00816342" w:rsidRPr="00225C48">
        <w:rPr>
          <w:rFonts w:ascii="Times New Roman" w:hAnsi="Times New Roman" w:cs="Times New Roman"/>
          <w:sz w:val="24"/>
          <w:szCs w:val="24"/>
        </w:rPr>
        <w:t xml:space="preserve"> (strateški)</w:t>
      </w:r>
      <w:r w:rsidR="00D15041" w:rsidRPr="00225C48">
        <w:rPr>
          <w:rFonts w:ascii="Times New Roman" w:hAnsi="Times New Roman" w:cs="Times New Roman"/>
          <w:sz w:val="24"/>
          <w:szCs w:val="24"/>
        </w:rPr>
        <w:t xml:space="preserve"> i </w:t>
      </w:r>
      <w:r w:rsidR="00816342" w:rsidRPr="00225C48">
        <w:rPr>
          <w:rFonts w:ascii="Times New Roman" w:hAnsi="Times New Roman" w:cs="Times New Roman"/>
          <w:sz w:val="24"/>
          <w:szCs w:val="24"/>
        </w:rPr>
        <w:t>posebni</w:t>
      </w:r>
      <w:r w:rsidR="00D15041" w:rsidRPr="00225C48">
        <w:rPr>
          <w:rFonts w:ascii="Times New Roman" w:hAnsi="Times New Roman" w:cs="Times New Roman"/>
          <w:sz w:val="24"/>
          <w:szCs w:val="24"/>
        </w:rPr>
        <w:t xml:space="preserve"> ciljevi za razdoblje 2023. – 2026.g.</w:t>
      </w:r>
      <w:r w:rsidR="009C34FB" w:rsidRPr="00225C48">
        <w:rPr>
          <w:rFonts w:ascii="Times New Roman" w:hAnsi="Times New Roman" w:cs="Times New Roman"/>
          <w:sz w:val="24"/>
          <w:szCs w:val="24"/>
        </w:rPr>
        <w:t xml:space="preserve">  </w:t>
      </w:r>
      <w:r w:rsidR="00E34777" w:rsidRPr="00225C48">
        <w:rPr>
          <w:rFonts w:ascii="Times New Roman" w:hAnsi="Times New Roman" w:cs="Times New Roman"/>
          <w:sz w:val="24"/>
          <w:szCs w:val="24"/>
        </w:rPr>
        <w:t>Strateško planiranje temelj</w:t>
      </w:r>
      <w:r w:rsidR="00225C48">
        <w:rPr>
          <w:rFonts w:ascii="Times New Roman" w:hAnsi="Times New Roman" w:cs="Times New Roman"/>
          <w:sz w:val="24"/>
          <w:szCs w:val="24"/>
        </w:rPr>
        <w:t>eno je</w:t>
      </w:r>
      <w:r w:rsidR="00E34777" w:rsidRPr="00225C48">
        <w:rPr>
          <w:rFonts w:ascii="Times New Roman" w:hAnsi="Times New Roman" w:cs="Times New Roman"/>
          <w:sz w:val="24"/>
          <w:szCs w:val="24"/>
        </w:rPr>
        <w:t xml:space="preserve"> na nekoliko ključnih elemenata - analizi trenutnog stanja poslovanja Društva, financijskom planu i analizi, SWOT analizi, upravljanju rizicima te organizaciji resursa potrebnih za provedbu strateških ciljeva. Pri postavljanju strateških ciljeva korišten je SMART pristup - postavljeni ciljevi su jasni, mjerljivi, ostvarivi, realni i vremenski definirani.  </w:t>
      </w:r>
    </w:p>
    <w:p w14:paraId="68BBF1BF" w14:textId="77777777" w:rsidR="00225C48" w:rsidRDefault="00225C48" w:rsidP="006B5407">
      <w:pPr>
        <w:spacing w:after="0" w:line="276" w:lineRule="auto"/>
        <w:jc w:val="both"/>
        <w:rPr>
          <w:rFonts w:ascii="Times New Roman" w:hAnsi="Times New Roman" w:cs="Times New Roman"/>
          <w:sz w:val="24"/>
          <w:szCs w:val="24"/>
        </w:rPr>
      </w:pPr>
    </w:p>
    <w:p w14:paraId="7E24671C" w14:textId="1A659DFE" w:rsidR="001817DB" w:rsidRPr="00225C48" w:rsidRDefault="00E34777" w:rsidP="006B5407">
      <w:pPr>
        <w:spacing w:after="0" w:line="276" w:lineRule="auto"/>
        <w:jc w:val="both"/>
        <w:rPr>
          <w:rFonts w:ascii="Times New Roman" w:hAnsi="Times New Roman" w:cs="Times New Roman"/>
          <w:sz w:val="24"/>
          <w:szCs w:val="24"/>
        </w:rPr>
      </w:pPr>
      <w:r w:rsidRPr="00225C48">
        <w:rPr>
          <w:rFonts w:ascii="Times New Roman" w:hAnsi="Times New Roman" w:cs="Times New Roman"/>
          <w:sz w:val="24"/>
          <w:szCs w:val="24"/>
        </w:rPr>
        <w:t xml:space="preserve">Strateški plan uključuje plan provedbe strateških ciljeva </w:t>
      </w:r>
      <w:r w:rsidR="009C34FB" w:rsidRPr="00225C48">
        <w:rPr>
          <w:rFonts w:ascii="Times New Roman" w:hAnsi="Times New Roman" w:cs="Times New Roman"/>
          <w:sz w:val="24"/>
          <w:szCs w:val="24"/>
        </w:rPr>
        <w:t xml:space="preserve">u kojem su definirane </w:t>
      </w:r>
      <w:r w:rsidR="00584EC4" w:rsidRPr="00225C48">
        <w:rPr>
          <w:rFonts w:ascii="Times New Roman" w:hAnsi="Times New Roman" w:cs="Times New Roman"/>
          <w:sz w:val="24"/>
          <w:szCs w:val="24"/>
        </w:rPr>
        <w:t>planirane</w:t>
      </w:r>
      <w:r w:rsidR="00D15041" w:rsidRPr="00225C48">
        <w:rPr>
          <w:rFonts w:ascii="Times New Roman" w:hAnsi="Times New Roman" w:cs="Times New Roman"/>
          <w:sz w:val="24"/>
          <w:szCs w:val="24"/>
        </w:rPr>
        <w:t xml:space="preserve"> aktivnosti</w:t>
      </w:r>
      <w:r w:rsidR="00584EC4" w:rsidRPr="00225C48">
        <w:rPr>
          <w:rFonts w:ascii="Times New Roman" w:hAnsi="Times New Roman" w:cs="Times New Roman"/>
          <w:sz w:val="24"/>
          <w:szCs w:val="24"/>
        </w:rPr>
        <w:t xml:space="preserve"> </w:t>
      </w:r>
      <w:r w:rsidR="00A073CA" w:rsidRPr="00225C48">
        <w:rPr>
          <w:rFonts w:ascii="Times New Roman" w:hAnsi="Times New Roman" w:cs="Times New Roman"/>
          <w:sz w:val="24"/>
          <w:szCs w:val="24"/>
        </w:rPr>
        <w:t>potrebne</w:t>
      </w:r>
      <w:r w:rsidR="00584EC4" w:rsidRPr="00225C48">
        <w:rPr>
          <w:rFonts w:ascii="Times New Roman" w:hAnsi="Times New Roman" w:cs="Times New Roman"/>
          <w:sz w:val="24"/>
          <w:szCs w:val="24"/>
        </w:rPr>
        <w:t xml:space="preserve"> za postizanje </w:t>
      </w:r>
      <w:r w:rsidR="00D15041" w:rsidRPr="00225C48">
        <w:rPr>
          <w:rFonts w:ascii="Times New Roman" w:hAnsi="Times New Roman" w:cs="Times New Roman"/>
          <w:sz w:val="24"/>
          <w:szCs w:val="24"/>
        </w:rPr>
        <w:t>ciljeva</w:t>
      </w:r>
      <w:r w:rsidR="000B601B" w:rsidRPr="00225C48">
        <w:rPr>
          <w:rFonts w:ascii="Times New Roman" w:hAnsi="Times New Roman" w:cs="Times New Roman"/>
          <w:sz w:val="24"/>
          <w:szCs w:val="24"/>
        </w:rPr>
        <w:t>, osobe odgovorne za provedbu aktivnosti</w:t>
      </w:r>
      <w:r w:rsidR="000E009E" w:rsidRPr="00225C48">
        <w:rPr>
          <w:rFonts w:ascii="Times New Roman" w:hAnsi="Times New Roman" w:cs="Times New Roman"/>
          <w:sz w:val="24"/>
          <w:szCs w:val="24"/>
        </w:rPr>
        <w:t>,</w:t>
      </w:r>
      <w:r w:rsidR="009C34FB" w:rsidRPr="00225C48">
        <w:rPr>
          <w:rFonts w:ascii="Times New Roman" w:hAnsi="Times New Roman" w:cs="Times New Roman"/>
          <w:sz w:val="24"/>
          <w:szCs w:val="24"/>
        </w:rPr>
        <w:t xml:space="preserve"> pokazatelji rezultata</w:t>
      </w:r>
      <w:r w:rsidRPr="00225C48">
        <w:rPr>
          <w:rFonts w:ascii="Times New Roman" w:hAnsi="Times New Roman" w:cs="Times New Roman"/>
          <w:sz w:val="24"/>
          <w:szCs w:val="24"/>
        </w:rPr>
        <w:t xml:space="preserve"> i učinka</w:t>
      </w:r>
      <w:r w:rsidR="009C34FB" w:rsidRPr="00225C48">
        <w:rPr>
          <w:rFonts w:ascii="Times New Roman" w:hAnsi="Times New Roman" w:cs="Times New Roman"/>
          <w:sz w:val="24"/>
          <w:szCs w:val="24"/>
        </w:rPr>
        <w:t xml:space="preserve"> provedenih aktivnosti </w:t>
      </w:r>
      <w:r w:rsidRPr="00225C48">
        <w:rPr>
          <w:rFonts w:ascii="Times New Roman" w:hAnsi="Times New Roman" w:cs="Times New Roman"/>
          <w:sz w:val="24"/>
          <w:szCs w:val="24"/>
        </w:rPr>
        <w:t xml:space="preserve"> te</w:t>
      </w:r>
      <w:r w:rsidR="000E009E" w:rsidRPr="00225C48">
        <w:rPr>
          <w:rFonts w:ascii="Times New Roman" w:hAnsi="Times New Roman" w:cs="Times New Roman"/>
          <w:sz w:val="24"/>
          <w:szCs w:val="24"/>
        </w:rPr>
        <w:t xml:space="preserve"> rok</w:t>
      </w:r>
      <w:r w:rsidR="00A073CA" w:rsidRPr="00225C48">
        <w:rPr>
          <w:rFonts w:ascii="Times New Roman" w:hAnsi="Times New Roman" w:cs="Times New Roman"/>
          <w:sz w:val="24"/>
          <w:szCs w:val="24"/>
        </w:rPr>
        <w:t>ovi</w:t>
      </w:r>
      <w:r w:rsidR="000E009E" w:rsidRPr="00225C48">
        <w:rPr>
          <w:rFonts w:ascii="Times New Roman" w:hAnsi="Times New Roman" w:cs="Times New Roman"/>
          <w:sz w:val="24"/>
          <w:szCs w:val="24"/>
        </w:rPr>
        <w:t xml:space="preserve"> provedb</w:t>
      </w:r>
      <w:r w:rsidR="00A073CA" w:rsidRPr="00225C48">
        <w:rPr>
          <w:rFonts w:ascii="Times New Roman" w:hAnsi="Times New Roman" w:cs="Times New Roman"/>
          <w:sz w:val="24"/>
          <w:szCs w:val="24"/>
        </w:rPr>
        <w:t>e</w:t>
      </w:r>
      <w:r w:rsidR="000E009E" w:rsidRPr="00225C48">
        <w:rPr>
          <w:rFonts w:ascii="Times New Roman" w:hAnsi="Times New Roman" w:cs="Times New Roman"/>
          <w:sz w:val="24"/>
          <w:szCs w:val="24"/>
        </w:rPr>
        <w:t xml:space="preserve"> planiranih aktivnosti</w:t>
      </w:r>
      <w:r w:rsidRPr="00225C48">
        <w:rPr>
          <w:rFonts w:ascii="Times New Roman" w:hAnsi="Times New Roman" w:cs="Times New Roman"/>
          <w:sz w:val="24"/>
          <w:szCs w:val="24"/>
        </w:rPr>
        <w:t xml:space="preserve">. Također, određen je i </w:t>
      </w:r>
      <w:r w:rsidR="00584EC4" w:rsidRPr="00225C48">
        <w:rPr>
          <w:rFonts w:ascii="Times New Roman" w:hAnsi="Times New Roman" w:cs="Times New Roman"/>
          <w:sz w:val="24"/>
          <w:szCs w:val="24"/>
        </w:rPr>
        <w:t>način praćenja</w:t>
      </w:r>
      <w:r w:rsidRPr="00225C48">
        <w:rPr>
          <w:rFonts w:ascii="Times New Roman" w:hAnsi="Times New Roman" w:cs="Times New Roman"/>
          <w:sz w:val="24"/>
          <w:szCs w:val="24"/>
        </w:rPr>
        <w:t xml:space="preserve">, </w:t>
      </w:r>
      <w:r w:rsidR="00584EC4" w:rsidRPr="00225C48">
        <w:rPr>
          <w:rFonts w:ascii="Times New Roman" w:hAnsi="Times New Roman" w:cs="Times New Roman"/>
          <w:sz w:val="24"/>
          <w:szCs w:val="24"/>
        </w:rPr>
        <w:t>evaluacije</w:t>
      </w:r>
      <w:r w:rsidRPr="00225C48">
        <w:rPr>
          <w:rFonts w:ascii="Times New Roman" w:hAnsi="Times New Roman" w:cs="Times New Roman"/>
          <w:sz w:val="24"/>
          <w:szCs w:val="24"/>
        </w:rPr>
        <w:t xml:space="preserve"> i izvještavanja o provedbi</w:t>
      </w:r>
      <w:r w:rsidR="00584EC4" w:rsidRPr="00225C48">
        <w:rPr>
          <w:rFonts w:ascii="Times New Roman" w:hAnsi="Times New Roman" w:cs="Times New Roman"/>
          <w:sz w:val="24"/>
          <w:szCs w:val="24"/>
        </w:rPr>
        <w:t xml:space="preserve"> </w:t>
      </w:r>
      <w:r w:rsidR="00D37224" w:rsidRPr="00225C48">
        <w:rPr>
          <w:rFonts w:ascii="Times New Roman" w:hAnsi="Times New Roman" w:cs="Times New Roman"/>
          <w:sz w:val="24"/>
          <w:szCs w:val="24"/>
        </w:rPr>
        <w:t>Strateškog plana</w:t>
      </w:r>
      <w:r w:rsidR="00A073CA" w:rsidRPr="00225C48">
        <w:rPr>
          <w:rFonts w:ascii="Times New Roman" w:hAnsi="Times New Roman" w:cs="Times New Roman"/>
          <w:sz w:val="24"/>
          <w:szCs w:val="24"/>
        </w:rPr>
        <w:t xml:space="preserve">, </w:t>
      </w:r>
      <w:r w:rsidR="00D37224" w:rsidRPr="00225C48">
        <w:rPr>
          <w:rFonts w:ascii="Times New Roman" w:hAnsi="Times New Roman" w:cs="Times New Roman"/>
          <w:sz w:val="24"/>
          <w:szCs w:val="24"/>
        </w:rPr>
        <w:t>a sve u svrhu unapr</w:t>
      </w:r>
      <w:r w:rsidR="00975076">
        <w:rPr>
          <w:rFonts w:ascii="Times New Roman" w:hAnsi="Times New Roman" w:cs="Times New Roman"/>
          <w:sz w:val="24"/>
          <w:szCs w:val="24"/>
        </w:rPr>
        <w:t>j</w:t>
      </w:r>
      <w:r w:rsidR="00D37224" w:rsidRPr="00225C48">
        <w:rPr>
          <w:rFonts w:ascii="Times New Roman" w:hAnsi="Times New Roman" w:cs="Times New Roman"/>
          <w:sz w:val="24"/>
          <w:szCs w:val="24"/>
        </w:rPr>
        <w:t>eđenja cjelokupnog poslovanja Društva</w:t>
      </w:r>
      <w:r w:rsidRPr="00225C48">
        <w:rPr>
          <w:rFonts w:ascii="Times New Roman" w:hAnsi="Times New Roman" w:cs="Times New Roman"/>
          <w:sz w:val="24"/>
          <w:szCs w:val="24"/>
        </w:rPr>
        <w:t>.</w:t>
      </w:r>
    </w:p>
    <w:p w14:paraId="42D62D11" w14:textId="77777777" w:rsidR="001817DB" w:rsidRPr="00225C48" w:rsidRDefault="001817DB" w:rsidP="006B5407">
      <w:pPr>
        <w:spacing w:after="0" w:line="276" w:lineRule="auto"/>
        <w:jc w:val="both"/>
        <w:rPr>
          <w:rFonts w:ascii="Times New Roman" w:hAnsi="Times New Roman" w:cs="Times New Roman"/>
          <w:sz w:val="24"/>
          <w:szCs w:val="24"/>
        </w:rPr>
      </w:pPr>
    </w:p>
    <w:p w14:paraId="5EC8E8E6" w14:textId="12F7D641" w:rsidR="000C7E7E" w:rsidRDefault="00225C48" w:rsidP="006B5407">
      <w:pPr>
        <w:spacing w:after="0" w:line="276" w:lineRule="auto"/>
        <w:jc w:val="both"/>
        <w:rPr>
          <w:rFonts w:ascii="Times New Roman" w:hAnsi="Times New Roman" w:cs="Times New Roman"/>
          <w:sz w:val="24"/>
          <w:szCs w:val="24"/>
        </w:rPr>
      </w:pPr>
      <w:r w:rsidRPr="00225C48">
        <w:rPr>
          <w:rFonts w:ascii="Times New Roman" w:hAnsi="Times New Roman" w:cs="Times New Roman"/>
          <w:sz w:val="24"/>
          <w:szCs w:val="24"/>
        </w:rPr>
        <w:t>Strateški plan kao</w:t>
      </w:r>
      <w:r w:rsidR="00BF67DA" w:rsidRPr="00225C48">
        <w:rPr>
          <w:rFonts w:ascii="Times New Roman" w:hAnsi="Times New Roman" w:cs="Times New Roman"/>
          <w:sz w:val="24"/>
          <w:szCs w:val="24"/>
        </w:rPr>
        <w:t xml:space="preserve"> strateški dokument </w:t>
      </w:r>
      <w:r w:rsidRPr="00225C48">
        <w:rPr>
          <w:rFonts w:ascii="Times New Roman" w:hAnsi="Times New Roman" w:cs="Times New Roman"/>
          <w:sz w:val="24"/>
          <w:szCs w:val="24"/>
        </w:rPr>
        <w:t xml:space="preserve">Društva </w:t>
      </w:r>
      <w:r w:rsidR="00BF67DA" w:rsidRPr="00225C48">
        <w:rPr>
          <w:rFonts w:ascii="Times New Roman" w:hAnsi="Times New Roman" w:cs="Times New Roman"/>
          <w:sz w:val="24"/>
          <w:szCs w:val="24"/>
        </w:rPr>
        <w:t>daje polaznu osnovu za daljnju uspostavu sustavnog</w:t>
      </w:r>
      <w:r w:rsidR="00D37224" w:rsidRPr="00225C48">
        <w:rPr>
          <w:rFonts w:ascii="Times New Roman" w:hAnsi="Times New Roman" w:cs="Times New Roman"/>
          <w:sz w:val="24"/>
          <w:szCs w:val="24"/>
        </w:rPr>
        <w:t xml:space="preserve"> poslovnog</w:t>
      </w:r>
      <w:r w:rsidR="00BF67DA" w:rsidRPr="00225C48">
        <w:rPr>
          <w:rFonts w:ascii="Times New Roman" w:hAnsi="Times New Roman" w:cs="Times New Roman"/>
          <w:sz w:val="24"/>
          <w:szCs w:val="24"/>
        </w:rPr>
        <w:t xml:space="preserve"> upravljanja i njime su postavljeni strateški </w:t>
      </w:r>
      <w:r w:rsidR="00703884" w:rsidRPr="00225C48">
        <w:rPr>
          <w:rFonts w:ascii="Times New Roman" w:hAnsi="Times New Roman" w:cs="Times New Roman"/>
          <w:sz w:val="24"/>
          <w:szCs w:val="24"/>
        </w:rPr>
        <w:t>pokazatelji</w:t>
      </w:r>
      <w:r w:rsidR="00BF67DA" w:rsidRPr="00225C48">
        <w:rPr>
          <w:rFonts w:ascii="Times New Roman" w:hAnsi="Times New Roman" w:cs="Times New Roman"/>
          <w:sz w:val="24"/>
          <w:szCs w:val="24"/>
        </w:rPr>
        <w:t xml:space="preserve"> usmjerenja Društva u promatranom razdoblju, a koji se dalje detaljn</w:t>
      </w:r>
      <w:r w:rsidR="00703884" w:rsidRPr="00225C48">
        <w:rPr>
          <w:rFonts w:ascii="Times New Roman" w:hAnsi="Times New Roman" w:cs="Times New Roman"/>
          <w:sz w:val="24"/>
          <w:szCs w:val="24"/>
        </w:rPr>
        <w:t>ije</w:t>
      </w:r>
      <w:r w:rsidR="00BF67DA" w:rsidRPr="00225C48">
        <w:rPr>
          <w:rFonts w:ascii="Times New Roman" w:hAnsi="Times New Roman" w:cs="Times New Roman"/>
          <w:sz w:val="24"/>
          <w:szCs w:val="24"/>
        </w:rPr>
        <w:t xml:space="preserve"> razrađuju </w:t>
      </w:r>
      <w:r w:rsidR="00703884" w:rsidRPr="00225C48">
        <w:rPr>
          <w:rFonts w:ascii="Times New Roman" w:hAnsi="Times New Roman" w:cs="Times New Roman"/>
          <w:sz w:val="24"/>
          <w:szCs w:val="24"/>
        </w:rPr>
        <w:t>kroz</w:t>
      </w:r>
      <w:r w:rsidR="00BF67DA" w:rsidRPr="00225C48">
        <w:rPr>
          <w:rFonts w:ascii="Times New Roman" w:hAnsi="Times New Roman" w:cs="Times New Roman"/>
          <w:sz w:val="24"/>
          <w:szCs w:val="24"/>
        </w:rPr>
        <w:t xml:space="preserve"> godišnj</w:t>
      </w:r>
      <w:r w:rsidR="00703884" w:rsidRPr="00225C48">
        <w:rPr>
          <w:rFonts w:ascii="Times New Roman" w:hAnsi="Times New Roman" w:cs="Times New Roman"/>
          <w:sz w:val="24"/>
          <w:szCs w:val="24"/>
        </w:rPr>
        <w:t>e</w:t>
      </w:r>
      <w:r w:rsidR="00BF67DA" w:rsidRPr="00225C48">
        <w:rPr>
          <w:rFonts w:ascii="Times New Roman" w:hAnsi="Times New Roman" w:cs="Times New Roman"/>
          <w:sz w:val="24"/>
          <w:szCs w:val="24"/>
        </w:rPr>
        <w:t xml:space="preserve"> planov</w:t>
      </w:r>
      <w:r w:rsidR="00703884" w:rsidRPr="00225C48">
        <w:rPr>
          <w:rFonts w:ascii="Times New Roman" w:hAnsi="Times New Roman" w:cs="Times New Roman"/>
          <w:sz w:val="24"/>
          <w:szCs w:val="24"/>
        </w:rPr>
        <w:t>e</w:t>
      </w:r>
      <w:r w:rsidR="00BF67DA" w:rsidRPr="00225C48">
        <w:rPr>
          <w:rFonts w:ascii="Times New Roman" w:hAnsi="Times New Roman" w:cs="Times New Roman"/>
          <w:sz w:val="24"/>
          <w:szCs w:val="24"/>
        </w:rPr>
        <w:t xml:space="preserve"> poslovanja i ostal</w:t>
      </w:r>
      <w:r w:rsidR="00703884" w:rsidRPr="00225C48">
        <w:rPr>
          <w:rFonts w:ascii="Times New Roman" w:hAnsi="Times New Roman" w:cs="Times New Roman"/>
          <w:sz w:val="24"/>
          <w:szCs w:val="24"/>
        </w:rPr>
        <w:t>e</w:t>
      </w:r>
      <w:r w:rsidR="00BF67DA" w:rsidRPr="00225C48">
        <w:rPr>
          <w:rFonts w:ascii="Times New Roman" w:hAnsi="Times New Roman" w:cs="Times New Roman"/>
          <w:sz w:val="24"/>
          <w:szCs w:val="24"/>
        </w:rPr>
        <w:t xml:space="preserve"> </w:t>
      </w:r>
      <w:r w:rsidR="00703884" w:rsidRPr="00225C48">
        <w:rPr>
          <w:rFonts w:ascii="Times New Roman" w:hAnsi="Times New Roman" w:cs="Times New Roman"/>
          <w:sz w:val="24"/>
          <w:szCs w:val="24"/>
        </w:rPr>
        <w:t xml:space="preserve">operativne </w:t>
      </w:r>
      <w:r w:rsidR="00BF67DA" w:rsidRPr="00225C48">
        <w:rPr>
          <w:rFonts w:ascii="Times New Roman" w:hAnsi="Times New Roman" w:cs="Times New Roman"/>
          <w:sz w:val="24"/>
          <w:szCs w:val="24"/>
        </w:rPr>
        <w:t>planov</w:t>
      </w:r>
      <w:r w:rsidR="00703884" w:rsidRPr="00225C48">
        <w:rPr>
          <w:rFonts w:ascii="Times New Roman" w:hAnsi="Times New Roman" w:cs="Times New Roman"/>
          <w:sz w:val="24"/>
          <w:szCs w:val="24"/>
        </w:rPr>
        <w:t>e koje Društvo donos</w:t>
      </w:r>
      <w:r w:rsidR="00C97F20" w:rsidRPr="00225C48">
        <w:rPr>
          <w:rFonts w:ascii="Times New Roman" w:hAnsi="Times New Roman" w:cs="Times New Roman"/>
          <w:sz w:val="24"/>
          <w:szCs w:val="24"/>
        </w:rPr>
        <w:t>i</w:t>
      </w:r>
      <w:r w:rsidR="00703884" w:rsidRPr="00225C48">
        <w:rPr>
          <w:rFonts w:ascii="Times New Roman" w:hAnsi="Times New Roman" w:cs="Times New Roman"/>
          <w:sz w:val="24"/>
          <w:szCs w:val="24"/>
        </w:rPr>
        <w:t xml:space="preserve"> na godišnjoj razini</w:t>
      </w:r>
      <w:r w:rsidR="00D37224" w:rsidRPr="00225C48">
        <w:rPr>
          <w:rFonts w:ascii="Times New Roman" w:hAnsi="Times New Roman" w:cs="Times New Roman"/>
          <w:sz w:val="24"/>
          <w:szCs w:val="24"/>
        </w:rPr>
        <w:t xml:space="preserve"> te</w:t>
      </w:r>
      <w:r w:rsidR="005025A2" w:rsidRPr="00225C48">
        <w:rPr>
          <w:rFonts w:ascii="Times New Roman" w:hAnsi="Times New Roman" w:cs="Times New Roman"/>
          <w:sz w:val="24"/>
          <w:szCs w:val="24"/>
        </w:rPr>
        <w:t xml:space="preserve"> </w:t>
      </w:r>
      <w:r w:rsidR="00BF67DA" w:rsidRPr="00225C48">
        <w:rPr>
          <w:rFonts w:ascii="Times New Roman" w:hAnsi="Times New Roman" w:cs="Times New Roman"/>
          <w:sz w:val="24"/>
          <w:szCs w:val="24"/>
        </w:rPr>
        <w:t>svi moraju biti u funkciji ostvarenja strateških ciljeva.</w:t>
      </w:r>
      <w:r w:rsidR="00D15041" w:rsidRPr="0081537A">
        <w:rPr>
          <w:rFonts w:ascii="Times New Roman" w:hAnsi="Times New Roman" w:cs="Times New Roman"/>
          <w:sz w:val="24"/>
          <w:szCs w:val="24"/>
        </w:rPr>
        <w:t xml:space="preserve"> </w:t>
      </w:r>
    </w:p>
    <w:p w14:paraId="5720061C" w14:textId="77777777" w:rsidR="007073CE" w:rsidRDefault="007073CE" w:rsidP="006B5407">
      <w:pPr>
        <w:spacing w:line="276" w:lineRule="auto"/>
      </w:pPr>
    </w:p>
    <w:p w14:paraId="4E9FCC76" w14:textId="77777777" w:rsidR="001817DB" w:rsidRDefault="001817DB" w:rsidP="003B53F4">
      <w:pPr>
        <w:spacing w:line="276" w:lineRule="auto"/>
      </w:pPr>
    </w:p>
    <w:p w14:paraId="69CF9F67" w14:textId="77777777" w:rsidR="001817DB" w:rsidRDefault="001817DB" w:rsidP="003B53F4">
      <w:pPr>
        <w:spacing w:line="276" w:lineRule="auto"/>
      </w:pPr>
    </w:p>
    <w:p w14:paraId="69D73310" w14:textId="77777777" w:rsidR="001817DB" w:rsidRDefault="001817DB" w:rsidP="003B53F4">
      <w:pPr>
        <w:spacing w:line="276" w:lineRule="auto"/>
      </w:pPr>
    </w:p>
    <w:p w14:paraId="099A9EFB" w14:textId="77777777" w:rsidR="001817DB" w:rsidRDefault="001817DB" w:rsidP="003B53F4">
      <w:pPr>
        <w:spacing w:line="276" w:lineRule="auto"/>
      </w:pPr>
    </w:p>
    <w:p w14:paraId="019CBDDF" w14:textId="77777777" w:rsidR="00BF0316" w:rsidRDefault="00BF0316" w:rsidP="003B53F4">
      <w:pPr>
        <w:spacing w:line="276" w:lineRule="auto"/>
      </w:pPr>
    </w:p>
    <w:p w14:paraId="468F73D7" w14:textId="77777777" w:rsidR="00EF4B60" w:rsidRDefault="00EF4B60" w:rsidP="003B53F4">
      <w:pPr>
        <w:spacing w:line="276" w:lineRule="auto"/>
      </w:pPr>
    </w:p>
    <w:p w14:paraId="135DBFDA" w14:textId="77777777" w:rsidR="001817DB" w:rsidRDefault="001817DB" w:rsidP="003B53F4">
      <w:pPr>
        <w:spacing w:line="276" w:lineRule="auto"/>
      </w:pPr>
    </w:p>
    <w:p w14:paraId="4450CA1E" w14:textId="77777777" w:rsidR="001817DB" w:rsidRDefault="001817DB" w:rsidP="003B53F4">
      <w:pPr>
        <w:spacing w:line="276" w:lineRule="auto"/>
      </w:pPr>
    </w:p>
    <w:p w14:paraId="182CDBEA" w14:textId="77777777" w:rsidR="001817DB" w:rsidRDefault="001817DB" w:rsidP="003B53F4">
      <w:pPr>
        <w:spacing w:line="276" w:lineRule="auto"/>
      </w:pPr>
    </w:p>
    <w:p w14:paraId="31BE3A55" w14:textId="0CACC9E3" w:rsidR="008404D4" w:rsidRPr="000A2EE0" w:rsidRDefault="00E74FDF" w:rsidP="006020DB">
      <w:pPr>
        <w:pStyle w:val="Naslov1"/>
        <w:numPr>
          <w:ilvl w:val="0"/>
          <w:numId w:val="32"/>
        </w:numPr>
        <w:spacing w:line="276" w:lineRule="auto"/>
      </w:pPr>
      <w:bookmarkStart w:id="1" w:name="_Toc149821386"/>
      <w:r w:rsidRPr="00FB3BAC">
        <w:rPr>
          <w:rFonts w:cs="Times New Roman"/>
        </w:rPr>
        <w:lastRenderedPageBreak/>
        <w:t>OPĆENITO</w:t>
      </w:r>
      <w:r w:rsidRPr="000A2EE0">
        <w:t xml:space="preserve"> O DRUŠTVU</w:t>
      </w:r>
      <w:bookmarkEnd w:id="1"/>
    </w:p>
    <w:p w14:paraId="652E4D0D" w14:textId="77777777" w:rsidR="00142C13" w:rsidRPr="000A2EE0" w:rsidRDefault="00142C13" w:rsidP="003B53F4">
      <w:pPr>
        <w:spacing w:line="276" w:lineRule="auto"/>
        <w:jc w:val="both"/>
        <w:rPr>
          <w:sz w:val="24"/>
          <w:szCs w:val="24"/>
        </w:rPr>
      </w:pPr>
    </w:p>
    <w:p w14:paraId="0FD666E4" w14:textId="5EFB9F44" w:rsidR="00142C13" w:rsidRDefault="008404D4" w:rsidP="009B3684">
      <w:pPr>
        <w:spacing w:after="0" w:line="276" w:lineRule="auto"/>
        <w:jc w:val="both"/>
        <w:rPr>
          <w:rFonts w:ascii="Times New Roman" w:hAnsi="Times New Roman" w:cs="Times New Roman"/>
          <w:sz w:val="24"/>
          <w:szCs w:val="24"/>
          <w:lang w:eastAsia="hr-HR"/>
        </w:rPr>
      </w:pPr>
      <w:r w:rsidRPr="000A2EE0">
        <w:rPr>
          <w:rFonts w:ascii="Times New Roman" w:eastAsia="Times New Roman" w:hAnsi="Times New Roman" w:cs="Times New Roman"/>
          <w:kern w:val="0"/>
          <w:sz w:val="24"/>
          <w:szCs w:val="24"/>
          <w:lang w:eastAsia="hr-HR"/>
          <w14:ligatures w14:val="none"/>
        </w:rPr>
        <w:t>GKP  ČAKOM d.o.o.</w:t>
      </w:r>
      <w:r w:rsidR="00142C13" w:rsidRPr="000A2EE0">
        <w:rPr>
          <w:rFonts w:ascii="Times New Roman" w:eastAsia="Times New Roman" w:hAnsi="Times New Roman" w:cs="Times New Roman"/>
          <w:kern w:val="0"/>
          <w:sz w:val="24"/>
          <w:szCs w:val="24"/>
          <w:lang w:eastAsia="hr-HR"/>
          <w14:ligatures w14:val="none"/>
        </w:rPr>
        <w:t xml:space="preserve"> </w:t>
      </w:r>
      <w:r w:rsidRPr="000A2EE0">
        <w:rPr>
          <w:rFonts w:ascii="Times New Roman" w:eastAsia="Times New Roman" w:hAnsi="Times New Roman" w:cs="Times New Roman"/>
          <w:kern w:val="0"/>
          <w:sz w:val="24"/>
          <w:szCs w:val="24"/>
          <w:lang w:eastAsia="hr-HR"/>
          <w14:ligatures w14:val="none"/>
        </w:rPr>
        <w:t>je gradsko komunalno poduzeće osnovano 01.06.1995.</w:t>
      </w:r>
      <w:r w:rsidR="00142C13" w:rsidRPr="000A2EE0">
        <w:rPr>
          <w:rFonts w:ascii="Times New Roman" w:eastAsia="Times New Roman" w:hAnsi="Times New Roman" w:cs="Times New Roman"/>
          <w:kern w:val="0"/>
          <w:sz w:val="24"/>
          <w:szCs w:val="24"/>
          <w:lang w:eastAsia="hr-HR"/>
          <w14:ligatures w14:val="none"/>
        </w:rPr>
        <w:t>g.</w:t>
      </w:r>
      <w:r w:rsidRPr="000A2EE0">
        <w:rPr>
          <w:rFonts w:ascii="Times New Roman" w:eastAsia="Times New Roman" w:hAnsi="Times New Roman" w:cs="Times New Roman"/>
          <w:kern w:val="0"/>
          <w:sz w:val="24"/>
          <w:szCs w:val="24"/>
          <w:lang w:eastAsia="hr-HR"/>
          <w14:ligatures w14:val="none"/>
        </w:rPr>
        <w:t xml:space="preserve"> </w:t>
      </w:r>
      <w:r w:rsidR="00F66139" w:rsidRPr="000A2EE0">
        <w:rPr>
          <w:rFonts w:ascii="Times New Roman" w:eastAsia="Times New Roman" w:hAnsi="Times New Roman" w:cs="Times New Roman"/>
          <w:kern w:val="0"/>
          <w:sz w:val="24"/>
          <w:szCs w:val="24"/>
          <w:lang w:eastAsia="hr-HR"/>
          <w14:ligatures w14:val="none"/>
        </w:rPr>
        <w:t>kao JKP ČAKOM s p.o. temeljem rješenja</w:t>
      </w:r>
      <w:r w:rsidRPr="000A2EE0">
        <w:rPr>
          <w:rFonts w:ascii="Times New Roman" w:eastAsia="Times New Roman" w:hAnsi="Times New Roman" w:cs="Times New Roman"/>
          <w:kern w:val="0"/>
          <w:sz w:val="24"/>
          <w:szCs w:val="24"/>
          <w:lang w:eastAsia="hr-HR"/>
          <w14:ligatures w14:val="none"/>
        </w:rPr>
        <w:t xml:space="preserve"> Trgovačkog suda u Varaždinu</w:t>
      </w:r>
      <w:r w:rsidR="00F66139" w:rsidRPr="000A2EE0">
        <w:rPr>
          <w:rFonts w:ascii="Times New Roman" w:eastAsia="Times New Roman" w:hAnsi="Times New Roman" w:cs="Times New Roman"/>
          <w:kern w:val="0"/>
          <w:sz w:val="24"/>
          <w:szCs w:val="24"/>
          <w:lang w:eastAsia="hr-HR"/>
          <w14:ligatures w14:val="none"/>
        </w:rPr>
        <w:t xml:space="preserve"> broj Fi-705/95 od 01.06.1995. godine, a preoblikovano u GKP ČAKOM d.o.o. temeljem Rješenja Trgovačkog suda u Varaždinu</w:t>
      </w:r>
      <w:r w:rsidRPr="000A2EE0">
        <w:rPr>
          <w:rFonts w:ascii="Times New Roman" w:eastAsia="Times New Roman" w:hAnsi="Times New Roman" w:cs="Times New Roman"/>
          <w:kern w:val="0"/>
          <w:sz w:val="24"/>
          <w:szCs w:val="24"/>
          <w:lang w:eastAsia="hr-HR"/>
          <w14:ligatures w14:val="none"/>
        </w:rPr>
        <w:t xml:space="preserve"> broj T-96/456-2</w:t>
      </w:r>
      <w:r w:rsidR="00F66139" w:rsidRPr="000A2EE0">
        <w:rPr>
          <w:rFonts w:ascii="Times New Roman" w:eastAsia="Times New Roman" w:hAnsi="Times New Roman" w:cs="Times New Roman"/>
          <w:kern w:val="0"/>
          <w:sz w:val="24"/>
          <w:szCs w:val="24"/>
          <w:lang w:eastAsia="hr-HR"/>
          <w14:ligatures w14:val="none"/>
        </w:rPr>
        <w:t xml:space="preserve"> od 08.10.1996. godine</w:t>
      </w:r>
      <w:r w:rsidRPr="000A2EE0">
        <w:rPr>
          <w:rFonts w:ascii="Times New Roman" w:eastAsia="Times New Roman" w:hAnsi="Times New Roman" w:cs="Times New Roman"/>
          <w:kern w:val="0"/>
          <w:sz w:val="24"/>
          <w:szCs w:val="24"/>
          <w:lang w:eastAsia="hr-HR"/>
          <w14:ligatures w14:val="none"/>
        </w:rPr>
        <w:t xml:space="preserve">. </w:t>
      </w:r>
      <w:r w:rsidR="009E48D9" w:rsidRPr="000A2EE0">
        <w:rPr>
          <w:rFonts w:ascii="Times New Roman" w:eastAsia="Times New Roman" w:hAnsi="Times New Roman" w:cs="Times New Roman"/>
          <w:kern w:val="0"/>
          <w:sz w:val="24"/>
          <w:szCs w:val="24"/>
          <w:lang w:eastAsia="hr-HR"/>
          <w14:ligatures w14:val="none"/>
        </w:rPr>
        <w:t>Sjedište Društva je</w:t>
      </w:r>
      <w:r w:rsidR="00142C13" w:rsidRPr="000A2EE0">
        <w:rPr>
          <w:rFonts w:ascii="Times New Roman" w:eastAsia="Times New Roman" w:hAnsi="Times New Roman" w:cs="Times New Roman"/>
          <w:kern w:val="0"/>
          <w:sz w:val="24"/>
          <w:szCs w:val="24"/>
          <w:lang w:eastAsia="hr-HR"/>
          <w14:ligatures w14:val="none"/>
        </w:rPr>
        <w:t xml:space="preserve"> na adresi Mihovljanska 10, Mihovljan, 40000 Čakovec. </w:t>
      </w:r>
      <w:r w:rsidR="0081537A">
        <w:rPr>
          <w:rFonts w:ascii="Times New Roman" w:eastAsia="Times New Roman" w:hAnsi="Times New Roman" w:cs="Times New Roman"/>
          <w:kern w:val="0"/>
          <w:sz w:val="24"/>
          <w:szCs w:val="24"/>
          <w:lang w:eastAsia="hr-HR"/>
          <w14:ligatures w14:val="none"/>
        </w:rPr>
        <w:t>Temeljni kapital</w:t>
      </w:r>
      <w:r w:rsidRPr="000A2EE0">
        <w:rPr>
          <w:rFonts w:ascii="Times New Roman" w:eastAsia="Times New Roman" w:hAnsi="Times New Roman" w:cs="Times New Roman"/>
          <w:kern w:val="0"/>
          <w:sz w:val="24"/>
          <w:szCs w:val="24"/>
          <w:lang w:eastAsia="hr-HR"/>
          <w14:ligatures w14:val="none"/>
        </w:rPr>
        <w:t xml:space="preserve"> poduzeća je 4.973.000,00 kuna /</w:t>
      </w:r>
      <w:r w:rsidR="00814905" w:rsidRPr="000A2EE0">
        <w:rPr>
          <w:rFonts w:ascii="Times New Roman" w:eastAsia="Times New Roman" w:hAnsi="Times New Roman" w:cs="Times New Roman"/>
          <w:kern w:val="0"/>
          <w:sz w:val="24"/>
          <w:szCs w:val="24"/>
          <w:lang w:eastAsia="hr-HR"/>
          <w14:ligatures w14:val="none"/>
        </w:rPr>
        <w:t xml:space="preserve"> </w:t>
      </w:r>
      <w:r w:rsidRPr="000A2EE0">
        <w:rPr>
          <w:rFonts w:ascii="Times New Roman" w:eastAsia="Times New Roman" w:hAnsi="Times New Roman" w:cs="Times New Roman"/>
          <w:kern w:val="0"/>
          <w:sz w:val="24"/>
          <w:szCs w:val="24"/>
          <w:lang w:eastAsia="hr-HR"/>
          <w14:ligatures w14:val="none"/>
        </w:rPr>
        <w:t>660.030,53 eur</w:t>
      </w:r>
      <w:r w:rsidR="00A107E8" w:rsidRPr="000A2EE0">
        <w:rPr>
          <w:rFonts w:ascii="Times New Roman" w:eastAsia="Times New Roman" w:hAnsi="Times New Roman" w:cs="Times New Roman"/>
          <w:kern w:val="0"/>
          <w:sz w:val="24"/>
          <w:szCs w:val="24"/>
          <w:lang w:eastAsia="hr-HR"/>
          <w14:ligatures w14:val="none"/>
        </w:rPr>
        <w:t>a</w:t>
      </w:r>
      <w:r w:rsidR="00814905" w:rsidRPr="000A2EE0">
        <w:rPr>
          <w:rFonts w:ascii="Times New Roman" w:eastAsia="Times New Roman" w:hAnsi="Times New Roman" w:cs="Times New Roman"/>
          <w:kern w:val="0"/>
          <w:sz w:val="24"/>
          <w:szCs w:val="24"/>
          <w:lang w:eastAsia="hr-HR"/>
          <w14:ligatures w14:val="none"/>
        </w:rPr>
        <w:t>,</w:t>
      </w:r>
      <w:r w:rsidRPr="000A2EE0">
        <w:rPr>
          <w:rFonts w:ascii="Times New Roman" w:eastAsia="Times New Roman" w:hAnsi="Times New Roman" w:cs="Times New Roman"/>
          <w:kern w:val="0"/>
          <w:sz w:val="24"/>
          <w:szCs w:val="24"/>
          <w:lang w:eastAsia="hr-HR"/>
          <w14:ligatures w14:val="none"/>
        </w:rPr>
        <w:t xml:space="preserve"> a isto je u suvlasništvu Grada Čakovca s </w:t>
      </w:r>
      <w:r w:rsidR="000E009E">
        <w:rPr>
          <w:rFonts w:ascii="Times New Roman" w:eastAsia="Times New Roman" w:hAnsi="Times New Roman" w:cs="Times New Roman"/>
          <w:kern w:val="0"/>
          <w:sz w:val="24"/>
          <w:szCs w:val="24"/>
          <w:lang w:eastAsia="hr-HR"/>
          <w14:ligatures w14:val="none"/>
        </w:rPr>
        <w:t xml:space="preserve"> udjelom od </w:t>
      </w:r>
      <w:r w:rsidRPr="000A2EE0">
        <w:rPr>
          <w:rFonts w:ascii="Times New Roman" w:eastAsia="Times New Roman" w:hAnsi="Times New Roman" w:cs="Times New Roman"/>
          <w:kern w:val="0"/>
          <w:sz w:val="24"/>
          <w:szCs w:val="24"/>
          <w:lang w:eastAsia="hr-HR"/>
          <w14:ligatures w14:val="none"/>
        </w:rPr>
        <w:t>9</w:t>
      </w:r>
      <w:r w:rsidR="00A107E8" w:rsidRPr="000A2EE0">
        <w:rPr>
          <w:rFonts w:ascii="Times New Roman" w:eastAsia="Times New Roman" w:hAnsi="Times New Roman" w:cs="Times New Roman"/>
          <w:kern w:val="0"/>
          <w:sz w:val="24"/>
          <w:szCs w:val="24"/>
          <w:lang w:eastAsia="hr-HR"/>
          <w14:ligatures w14:val="none"/>
        </w:rPr>
        <w:t>1</w:t>
      </w:r>
      <w:r w:rsidRPr="000A2EE0">
        <w:rPr>
          <w:rFonts w:ascii="Times New Roman" w:eastAsia="Times New Roman" w:hAnsi="Times New Roman" w:cs="Times New Roman"/>
          <w:kern w:val="0"/>
          <w:sz w:val="24"/>
          <w:szCs w:val="24"/>
          <w:lang w:eastAsia="hr-HR"/>
          <w14:ligatures w14:val="none"/>
        </w:rPr>
        <w:t xml:space="preserve">%, Općine Nedelišće </w:t>
      </w:r>
      <w:r w:rsidR="00CA6C46" w:rsidRPr="000A2EE0">
        <w:rPr>
          <w:rFonts w:ascii="Times New Roman" w:eastAsia="Times New Roman" w:hAnsi="Times New Roman" w:cs="Times New Roman"/>
          <w:kern w:val="0"/>
          <w:sz w:val="24"/>
          <w:szCs w:val="24"/>
          <w:lang w:eastAsia="hr-HR"/>
          <w14:ligatures w14:val="none"/>
        </w:rPr>
        <w:t xml:space="preserve">s </w:t>
      </w:r>
      <w:r w:rsidR="000E009E">
        <w:rPr>
          <w:rFonts w:ascii="Times New Roman" w:eastAsia="Times New Roman" w:hAnsi="Times New Roman" w:cs="Times New Roman"/>
          <w:kern w:val="0"/>
          <w:sz w:val="24"/>
          <w:szCs w:val="24"/>
          <w:lang w:eastAsia="hr-HR"/>
          <w14:ligatures w14:val="none"/>
        </w:rPr>
        <w:t xml:space="preserve">udjelom od </w:t>
      </w:r>
      <w:r w:rsidRPr="000A2EE0">
        <w:rPr>
          <w:rFonts w:ascii="Times New Roman" w:eastAsia="Times New Roman" w:hAnsi="Times New Roman" w:cs="Times New Roman"/>
          <w:kern w:val="0"/>
          <w:sz w:val="24"/>
          <w:szCs w:val="24"/>
          <w:lang w:eastAsia="hr-HR"/>
          <w14:ligatures w14:val="none"/>
        </w:rPr>
        <w:t>2</w:t>
      </w:r>
      <w:r w:rsidR="000E009E">
        <w:rPr>
          <w:rFonts w:ascii="Times New Roman" w:eastAsia="Times New Roman" w:hAnsi="Times New Roman" w:cs="Times New Roman"/>
          <w:kern w:val="0"/>
          <w:sz w:val="24"/>
          <w:szCs w:val="24"/>
          <w:lang w:eastAsia="hr-HR"/>
          <w14:ligatures w14:val="none"/>
        </w:rPr>
        <w:t xml:space="preserve"> </w:t>
      </w:r>
      <w:r w:rsidRPr="000A2EE0">
        <w:rPr>
          <w:rFonts w:ascii="Times New Roman" w:eastAsia="Times New Roman" w:hAnsi="Times New Roman" w:cs="Times New Roman"/>
          <w:kern w:val="0"/>
          <w:sz w:val="24"/>
          <w:szCs w:val="24"/>
          <w:lang w:eastAsia="hr-HR"/>
          <w14:ligatures w14:val="none"/>
        </w:rPr>
        <w:t xml:space="preserve">%, Općine Strahoninec </w:t>
      </w:r>
      <w:r w:rsidR="00CA6C46" w:rsidRPr="000A2EE0">
        <w:rPr>
          <w:rFonts w:ascii="Times New Roman" w:eastAsia="Times New Roman" w:hAnsi="Times New Roman" w:cs="Times New Roman"/>
          <w:kern w:val="0"/>
          <w:sz w:val="24"/>
          <w:szCs w:val="24"/>
          <w:lang w:eastAsia="hr-HR"/>
          <w14:ligatures w14:val="none"/>
        </w:rPr>
        <w:t xml:space="preserve">s </w:t>
      </w:r>
      <w:r w:rsidR="000E009E">
        <w:rPr>
          <w:rFonts w:ascii="Times New Roman" w:eastAsia="Times New Roman" w:hAnsi="Times New Roman" w:cs="Times New Roman"/>
          <w:kern w:val="0"/>
          <w:sz w:val="24"/>
          <w:szCs w:val="24"/>
          <w:lang w:eastAsia="hr-HR"/>
          <w14:ligatures w14:val="none"/>
        </w:rPr>
        <w:t xml:space="preserve">udjelom od </w:t>
      </w:r>
      <w:r w:rsidRPr="000A2EE0">
        <w:rPr>
          <w:rFonts w:ascii="Times New Roman" w:eastAsia="Times New Roman" w:hAnsi="Times New Roman" w:cs="Times New Roman"/>
          <w:kern w:val="0"/>
          <w:sz w:val="24"/>
          <w:szCs w:val="24"/>
          <w:lang w:eastAsia="hr-HR"/>
          <w14:ligatures w14:val="none"/>
        </w:rPr>
        <w:t>1</w:t>
      </w:r>
      <w:r w:rsidR="000E009E">
        <w:rPr>
          <w:rFonts w:ascii="Times New Roman" w:eastAsia="Times New Roman" w:hAnsi="Times New Roman" w:cs="Times New Roman"/>
          <w:kern w:val="0"/>
          <w:sz w:val="24"/>
          <w:szCs w:val="24"/>
          <w:lang w:eastAsia="hr-HR"/>
          <w14:ligatures w14:val="none"/>
        </w:rPr>
        <w:t xml:space="preserve"> </w:t>
      </w:r>
      <w:r w:rsidRPr="000A2EE0">
        <w:rPr>
          <w:rFonts w:ascii="Times New Roman" w:eastAsia="Times New Roman" w:hAnsi="Times New Roman" w:cs="Times New Roman"/>
          <w:kern w:val="0"/>
          <w:sz w:val="24"/>
          <w:szCs w:val="24"/>
          <w:lang w:eastAsia="hr-HR"/>
          <w14:ligatures w14:val="none"/>
        </w:rPr>
        <w:t>%, Općine Šenkovec</w:t>
      </w:r>
      <w:r w:rsidR="00CA6C46" w:rsidRPr="000A2EE0">
        <w:rPr>
          <w:rFonts w:ascii="Times New Roman" w:eastAsia="Times New Roman" w:hAnsi="Times New Roman" w:cs="Times New Roman"/>
          <w:kern w:val="0"/>
          <w:sz w:val="24"/>
          <w:szCs w:val="24"/>
          <w:lang w:eastAsia="hr-HR"/>
          <w14:ligatures w14:val="none"/>
        </w:rPr>
        <w:t xml:space="preserve"> s</w:t>
      </w:r>
      <w:r w:rsidRPr="000A2EE0">
        <w:rPr>
          <w:rFonts w:ascii="Times New Roman" w:eastAsia="Times New Roman" w:hAnsi="Times New Roman" w:cs="Times New Roman"/>
          <w:kern w:val="0"/>
          <w:sz w:val="24"/>
          <w:szCs w:val="24"/>
          <w:lang w:eastAsia="hr-HR"/>
          <w14:ligatures w14:val="none"/>
        </w:rPr>
        <w:t xml:space="preserve"> </w:t>
      </w:r>
      <w:r w:rsidR="000E009E">
        <w:rPr>
          <w:rFonts w:ascii="Times New Roman" w:eastAsia="Times New Roman" w:hAnsi="Times New Roman" w:cs="Times New Roman"/>
          <w:kern w:val="0"/>
          <w:sz w:val="24"/>
          <w:szCs w:val="24"/>
          <w:lang w:eastAsia="hr-HR"/>
          <w14:ligatures w14:val="none"/>
        </w:rPr>
        <w:t xml:space="preserve">udjelom od </w:t>
      </w:r>
      <w:r w:rsidRPr="000A2EE0">
        <w:rPr>
          <w:rFonts w:ascii="Times New Roman" w:eastAsia="Times New Roman" w:hAnsi="Times New Roman" w:cs="Times New Roman"/>
          <w:kern w:val="0"/>
          <w:sz w:val="24"/>
          <w:szCs w:val="24"/>
          <w:lang w:eastAsia="hr-HR"/>
          <w14:ligatures w14:val="none"/>
        </w:rPr>
        <w:t>1</w:t>
      </w:r>
      <w:r w:rsidR="000E009E">
        <w:rPr>
          <w:rFonts w:ascii="Times New Roman" w:eastAsia="Times New Roman" w:hAnsi="Times New Roman" w:cs="Times New Roman"/>
          <w:kern w:val="0"/>
          <w:sz w:val="24"/>
          <w:szCs w:val="24"/>
          <w:lang w:eastAsia="hr-HR"/>
          <w14:ligatures w14:val="none"/>
        </w:rPr>
        <w:t xml:space="preserve"> </w:t>
      </w:r>
      <w:r w:rsidRPr="000A2EE0">
        <w:rPr>
          <w:rFonts w:ascii="Times New Roman" w:eastAsia="Times New Roman" w:hAnsi="Times New Roman" w:cs="Times New Roman"/>
          <w:kern w:val="0"/>
          <w:sz w:val="24"/>
          <w:szCs w:val="24"/>
          <w:lang w:eastAsia="hr-HR"/>
          <w14:ligatures w14:val="none"/>
        </w:rPr>
        <w:t xml:space="preserve">%,  Općine Orehovica </w:t>
      </w:r>
      <w:r w:rsidR="00CA6C46" w:rsidRPr="000A2EE0">
        <w:rPr>
          <w:rFonts w:ascii="Times New Roman" w:eastAsia="Times New Roman" w:hAnsi="Times New Roman" w:cs="Times New Roman"/>
          <w:kern w:val="0"/>
          <w:sz w:val="24"/>
          <w:szCs w:val="24"/>
          <w:lang w:eastAsia="hr-HR"/>
          <w14:ligatures w14:val="none"/>
        </w:rPr>
        <w:t xml:space="preserve">s </w:t>
      </w:r>
      <w:r w:rsidR="000E009E">
        <w:rPr>
          <w:rFonts w:ascii="Times New Roman" w:eastAsia="Times New Roman" w:hAnsi="Times New Roman" w:cs="Times New Roman"/>
          <w:kern w:val="0"/>
          <w:sz w:val="24"/>
          <w:szCs w:val="24"/>
          <w:lang w:eastAsia="hr-HR"/>
          <w14:ligatures w14:val="none"/>
        </w:rPr>
        <w:t xml:space="preserve">udjelom od </w:t>
      </w:r>
      <w:r w:rsidRPr="000A2EE0">
        <w:rPr>
          <w:rFonts w:ascii="Times New Roman" w:eastAsia="Times New Roman" w:hAnsi="Times New Roman" w:cs="Times New Roman"/>
          <w:kern w:val="0"/>
          <w:sz w:val="24"/>
          <w:szCs w:val="24"/>
          <w:lang w:eastAsia="hr-HR"/>
          <w14:ligatures w14:val="none"/>
        </w:rPr>
        <w:t>1</w:t>
      </w:r>
      <w:r w:rsidR="000E009E">
        <w:rPr>
          <w:rFonts w:ascii="Times New Roman" w:eastAsia="Times New Roman" w:hAnsi="Times New Roman" w:cs="Times New Roman"/>
          <w:kern w:val="0"/>
          <w:sz w:val="24"/>
          <w:szCs w:val="24"/>
          <w:lang w:eastAsia="hr-HR"/>
          <w14:ligatures w14:val="none"/>
        </w:rPr>
        <w:t xml:space="preserve"> </w:t>
      </w:r>
      <w:r w:rsidRPr="000A2EE0">
        <w:rPr>
          <w:rFonts w:ascii="Times New Roman" w:eastAsia="Times New Roman" w:hAnsi="Times New Roman" w:cs="Times New Roman"/>
          <w:kern w:val="0"/>
          <w:sz w:val="24"/>
          <w:szCs w:val="24"/>
          <w:lang w:eastAsia="hr-HR"/>
          <w14:ligatures w14:val="none"/>
        </w:rPr>
        <w:t>%</w:t>
      </w:r>
      <w:r w:rsidR="00F66139" w:rsidRPr="000A2EE0">
        <w:rPr>
          <w:rFonts w:ascii="Times New Roman" w:eastAsia="Times New Roman" w:hAnsi="Times New Roman" w:cs="Times New Roman"/>
          <w:kern w:val="0"/>
          <w:sz w:val="24"/>
          <w:szCs w:val="24"/>
          <w:lang w:eastAsia="hr-HR"/>
          <w14:ligatures w14:val="none"/>
        </w:rPr>
        <w:t>,</w:t>
      </w:r>
      <w:r w:rsidRPr="000A2EE0">
        <w:rPr>
          <w:rFonts w:ascii="Times New Roman" w:eastAsia="Times New Roman" w:hAnsi="Times New Roman" w:cs="Times New Roman"/>
          <w:kern w:val="0"/>
          <w:sz w:val="24"/>
          <w:szCs w:val="24"/>
          <w:lang w:eastAsia="hr-HR"/>
          <w14:ligatures w14:val="none"/>
        </w:rPr>
        <w:t xml:space="preserve"> Općine Mala Subotica </w:t>
      </w:r>
      <w:r w:rsidR="00CA6C46" w:rsidRPr="000A2EE0">
        <w:rPr>
          <w:rFonts w:ascii="Times New Roman" w:eastAsia="Times New Roman" w:hAnsi="Times New Roman" w:cs="Times New Roman"/>
          <w:kern w:val="0"/>
          <w:sz w:val="24"/>
          <w:szCs w:val="24"/>
          <w:lang w:eastAsia="hr-HR"/>
          <w14:ligatures w14:val="none"/>
        </w:rPr>
        <w:t xml:space="preserve">s </w:t>
      </w:r>
      <w:r w:rsidR="000E009E">
        <w:rPr>
          <w:rFonts w:ascii="Times New Roman" w:eastAsia="Times New Roman" w:hAnsi="Times New Roman" w:cs="Times New Roman"/>
          <w:kern w:val="0"/>
          <w:sz w:val="24"/>
          <w:szCs w:val="24"/>
          <w:lang w:eastAsia="hr-HR"/>
          <w14:ligatures w14:val="none"/>
        </w:rPr>
        <w:t xml:space="preserve">udjelom od </w:t>
      </w:r>
      <w:r w:rsidRPr="000A2EE0">
        <w:rPr>
          <w:rFonts w:ascii="Times New Roman" w:eastAsia="Times New Roman" w:hAnsi="Times New Roman" w:cs="Times New Roman"/>
          <w:kern w:val="0"/>
          <w:sz w:val="24"/>
          <w:szCs w:val="24"/>
          <w:lang w:eastAsia="hr-HR"/>
          <w14:ligatures w14:val="none"/>
        </w:rPr>
        <w:t>1 %</w:t>
      </w:r>
      <w:r w:rsidR="00F66139" w:rsidRPr="000A2EE0">
        <w:rPr>
          <w:rFonts w:ascii="Times New Roman" w:eastAsia="Times New Roman" w:hAnsi="Times New Roman" w:cs="Times New Roman"/>
          <w:kern w:val="0"/>
          <w:sz w:val="24"/>
          <w:szCs w:val="24"/>
          <w:lang w:eastAsia="hr-HR"/>
          <w14:ligatures w14:val="none"/>
        </w:rPr>
        <w:t>, Općine Štrigova</w:t>
      </w:r>
      <w:r w:rsidR="00CA6C46" w:rsidRPr="000A2EE0">
        <w:rPr>
          <w:rFonts w:ascii="Times New Roman" w:eastAsia="Times New Roman" w:hAnsi="Times New Roman" w:cs="Times New Roman"/>
          <w:kern w:val="0"/>
          <w:sz w:val="24"/>
          <w:szCs w:val="24"/>
          <w:lang w:eastAsia="hr-HR"/>
          <w14:ligatures w14:val="none"/>
        </w:rPr>
        <w:t xml:space="preserve"> s </w:t>
      </w:r>
      <w:r w:rsidR="000E009E">
        <w:rPr>
          <w:rFonts w:ascii="Times New Roman" w:eastAsia="Times New Roman" w:hAnsi="Times New Roman" w:cs="Times New Roman"/>
          <w:kern w:val="0"/>
          <w:sz w:val="24"/>
          <w:szCs w:val="24"/>
          <w:lang w:eastAsia="hr-HR"/>
          <w14:ligatures w14:val="none"/>
        </w:rPr>
        <w:t xml:space="preserve">udjelom od </w:t>
      </w:r>
      <w:r w:rsidR="00CA6C46" w:rsidRPr="000A2EE0">
        <w:rPr>
          <w:rFonts w:ascii="Times New Roman" w:eastAsia="Times New Roman" w:hAnsi="Times New Roman" w:cs="Times New Roman"/>
          <w:kern w:val="0"/>
          <w:sz w:val="24"/>
          <w:szCs w:val="24"/>
          <w:lang w:eastAsia="hr-HR"/>
          <w14:ligatures w14:val="none"/>
        </w:rPr>
        <w:t>1</w:t>
      </w:r>
      <w:r w:rsidR="000E009E">
        <w:rPr>
          <w:rFonts w:ascii="Times New Roman" w:eastAsia="Times New Roman" w:hAnsi="Times New Roman" w:cs="Times New Roman"/>
          <w:kern w:val="0"/>
          <w:sz w:val="24"/>
          <w:szCs w:val="24"/>
          <w:lang w:eastAsia="hr-HR"/>
          <w14:ligatures w14:val="none"/>
        </w:rPr>
        <w:t xml:space="preserve"> </w:t>
      </w:r>
      <w:r w:rsidR="00CA6C46" w:rsidRPr="000A2EE0">
        <w:rPr>
          <w:rFonts w:ascii="Times New Roman" w:eastAsia="Times New Roman" w:hAnsi="Times New Roman" w:cs="Times New Roman"/>
          <w:kern w:val="0"/>
          <w:sz w:val="24"/>
          <w:szCs w:val="24"/>
          <w:lang w:eastAsia="hr-HR"/>
          <w14:ligatures w14:val="none"/>
        </w:rPr>
        <w:t>%</w:t>
      </w:r>
      <w:r w:rsidR="00F66139" w:rsidRPr="000A2EE0">
        <w:rPr>
          <w:rFonts w:ascii="Times New Roman" w:eastAsia="Times New Roman" w:hAnsi="Times New Roman" w:cs="Times New Roman"/>
          <w:kern w:val="0"/>
          <w:sz w:val="24"/>
          <w:szCs w:val="24"/>
          <w:lang w:eastAsia="hr-HR"/>
          <w14:ligatures w14:val="none"/>
        </w:rPr>
        <w:t>, Općine Sveti Juraj na Bregu</w:t>
      </w:r>
      <w:r w:rsidR="00CA6C46" w:rsidRPr="000A2EE0">
        <w:rPr>
          <w:rFonts w:ascii="Times New Roman" w:eastAsia="Times New Roman" w:hAnsi="Times New Roman" w:cs="Times New Roman"/>
          <w:kern w:val="0"/>
          <w:sz w:val="24"/>
          <w:szCs w:val="24"/>
          <w:lang w:eastAsia="hr-HR"/>
          <w14:ligatures w14:val="none"/>
        </w:rPr>
        <w:t xml:space="preserve"> s </w:t>
      </w:r>
      <w:r w:rsidR="000E009E">
        <w:rPr>
          <w:rFonts w:ascii="Times New Roman" w:eastAsia="Times New Roman" w:hAnsi="Times New Roman" w:cs="Times New Roman"/>
          <w:kern w:val="0"/>
          <w:sz w:val="24"/>
          <w:szCs w:val="24"/>
          <w:lang w:eastAsia="hr-HR"/>
          <w14:ligatures w14:val="none"/>
        </w:rPr>
        <w:t xml:space="preserve">udjelom od </w:t>
      </w:r>
      <w:r w:rsidR="00CA6C46" w:rsidRPr="000A2EE0">
        <w:rPr>
          <w:rFonts w:ascii="Times New Roman" w:eastAsia="Times New Roman" w:hAnsi="Times New Roman" w:cs="Times New Roman"/>
          <w:kern w:val="0"/>
          <w:sz w:val="24"/>
          <w:szCs w:val="24"/>
          <w:lang w:eastAsia="hr-HR"/>
          <w14:ligatures w14:val="none"/>
        </w:rPr>
        <w:t>1</w:t>
      </w:r>
      <w:r w:rsidR="000E009E">
        <w:rPr>
          <w:rFonts w:ascii="Times New Roman" w:eastAsia="Times New Roman" w:hAnsi="Times New Roman" w:cs="Times New Roman"/>
          <w:kern w:val="0"/>
          <w:sz w:val="24"/>
          <w:szCs w:val="24"/>
          <w:lang w:eastAsia="hr-HR"/>
          <w14:ligatures w14:val="none"/>
        </w:rPr>
        <w:t xml:space="preserve"> </w:t>
      </w:r>
      <w:r w:rsidR="00CA6C46" w:rsidRPr="000A2EE0">
        <w:rPr>
          <w:rFonts w:ascii="Times New Roman" w:eastAsia="Times New Roman" w:hAnsi="Times New Roman" w:cs="Times New Roman"/>
          <w:kern w:val="0"/>
          <w:sz w:val="24"/>
          <w:szCs w:val="24"/>
          <w:lang w:eastAsia="hr-HR"/>
          <w14:ligatures w14:val="none"/>
        </w:rPr>
        <w:t>%</w:t>
      </w:r>
      <w:r w:rsidR="00F66139" w:rsidRPr="000A2EE0">
        <w:rPr>
          <w:rFonts w:ascii="Times New Roman" w:eastAsia="Times New Roman" w:hAnsi="Times New Roman" w:cs="Times New Roman"/>
          <w:kern w:val="0"/>
          <w:sz w:val="24"/>
          <w:szCs w:val="24"/>
          <w:lang w:eastAsia="hr-HR"/>
          <w14:ligatures w14:val="none"/>
        </w:rPr>
        <w:t xml:space="preserve"> i Općine Gornji Mihaljevec</w:t>
      </w:r>
      <w:r w:rsidR="00CA6C46" w:rsidRPr="000A2EE0">
        <w:rPr>
          <w:rFonts w:ascii="Times New Roman" w:eastAsia="Times New Roman" w:hAnsi="Times New Roman" w:cs="Times New Roman"/>
          <w:kern w:val="0"/>
          <w:sz w:val="24"/>
          <w:szCs w:val="24"/>
          <w:lang w:eastAsia="hr-HR"/>
          <w14:ligatures w14:val="none"/>
        </w:rPr>
        <w:t xml:space="preserve"> s</w:t>
      </w:r>
      <w:r w:rsidR="000E009E">
        <w:rPr>
          <w:rFonts w:ascii="Times New Roman" w:eastAsia="Times New Roman" w:hAnsi="Times New Roman" w:cs="Times New Roman"/>
          <w:kern w:val="0"/>
          <w:sz w:val="24"/>
          <w:szCs w:val="24"/>
          <w:lang w:eastAsia="hr-HR"/>
          <w14:ligatures w14:val="none"/>
        </w:rPr>
        <w:t xml:space="preserve"> udjelom od</w:t>
      </w:r>
      <w:r w:rsidR="00CA6C46" w:rsidRPr="000A2EE0">
        <w:rPr>
          <w:rFonts w:ascii="Times New Roman" w:eastAsia="Times New Roman" w:hAnsi="Times New Roman" w:cs="Times New Roman"/>
          <w:kern w:val="0"/>
          <w:sz w:val="24"/>
          <w:szCs w:val="24"/>
          <w:lang w:eastAsia="hr-HR"/>
          <w14:ligatures w14:val="none"/>
        </w:rPr>
        <w:t xml:space="preserve"> 1</w:t>
      </w:r>
      <w:r w:rsidR="000E009E">
        <w:rPr>
          <w:rFonts w:ascii="Times New Roman" w:eastAsia="Times New Roman" w:hAnsi="Times New Roman" w:cs="Times New Roman"/>
          <w:kern w:val="0"/>
          <w:sz w:val="24"/>
          <w:szCs w:val="24"/>
          <w:lang w:eastAsia="hr-HR"/>
          <w14:ligatures w14:val="none"/>
        </w:rPr>
        <w:t xml:space="preserve"> </w:t>
      </w:r>
      <w:r w:rsidR="00CA6C46" w:rsidRPr="000A2EE0">
        <w:rPr>
          <w:rFonts w:ascii="Times New Roman" w:eastAsia="Times New Roman" w:hAnsi="Times New Roman" w:cs="Times New Roman"/>
          <w:kern w:val="0"/>
          <w:sz w:val="24"/>
          <w:szCs w:val="24"/>
          <w:lang w:eastAsia="hr-HR"/>
          <w14:ligatures w14:val="none"/>
        </w:rPr>
        <w:t>%</w:t>
      </w:r>
      <w:r w:rsidRPr="000A2EE0">
        <w:rPr>
          <w:rFonts w:ascii="Times New Roman" w:eastAsia="Times New Roman" w:hAnsi="Times New Roman" w:cs="Times New Roman"/>
          <w:kern w:val="0"/>
          <w:sz w:val="24"/>
          <w:szCs w:val="24"/>
          <w:lang w:eastAsia="hr-HR"/>
          <w14:ligatures w14:val="none"/>
        </w:rPr>
        <w:t>.</w:t>
      </w:r>
      <w:r w:rsidR="009B3684">
        <w:rPr>
          <w:rFonts w:ascii="Times New Roman" w:eastAsia="Times New Roman" w:hAnsi="Times New Roman" w:cs="Times New Roman"/>
          <w:kern w:val="0"/>
          <w:sz w:val="24"/>
          <w:szCs w:val="24"/>
          <w:lang w:eastAsia="hr-HR"/>
          <w14:ligatures w14:val="none"/>
        </w:rPr>
        <w:t xml:space="preserve"> </w:t>
      </w:r>
      <w:r w:rsidR="00C8377A" w:rsidRPr="000A2EE0">
        <w:rPr>
          <w:rFonts w:ascii="Times New Roman" w:hAnsi="Times New Roman" w:cs="Times New Roman"/>
          <w:sz w:val="24"/>
          <w:szCs w:val="24"/>
          <w:lang w:eastAsia="hr-HR"/>
        </w:rPr>
        <w:t>Tijela Društva su Skupština, Nadzorni odbor i Uprava.</w:t>
      </w:r>
      <w:r w:rsidR="00EF4B60">
        <w:rPr>
          <w:rFonts w:ascii="Times New Roman" w:hAnsi="Times New Roman" w:cs="Times New Roman"/>
          <w:sz w:val="24"/>
          <w:szCs w:val="24"/>
          <w:lang w:eastAsia="hr-HR"/>
        </w:rPr>
        <w:t xml:space="preserve"> </w:t>
      </w:r>
    </w:p>
    <w:p w14:paraId="3309CAA8" w14:textId="77777777" w:rsidR="001817DB" w:rsidRDefault="001817DB" w:rsidP="003B53F4">
      <w:pPr>
        <w:spacing w:after="0" w:line="276" w:lineRule="auto"/>
        <w:jc w:val="both"/>
        <w:rPr>
          <w:rFonts w:ascii="Times New Roman" w:eastAsia="Times New Roman" w:hAnsi="Times New Roman" w:cs="Times New Roman"/>
          <w:kern w:val="0"/>
          <w:sz w:val="24"/>
          <w:szCs w:val="24"/>
          <w:lang w:eastAsia="hr-HR"/>
          <w14:ligatures w14:val="none"/>
        </w:rPr>
      </w:pPr>
    </w:p>
    <w:p w14:paraId="1C496E88" w14:textId="01B3D327" w:rsidR="00142C13" w:rsidRPr="000A2EE0" w:rsidRDefault="009E48D9" w:rsidP="003B53F4">
      <w:pPr>
        <w:spacing w:line="276" w:lineRule="auto"/>
        <w:jc w:val="both"/>
        <w:rPr>
          <w:sz w:val="24"/>
          <w:szCs w:val="24"/>
          <w:lang w:eastAsia="hr-HR"/>
        </w:rPr>
      </w:pPr>
      <w:r w:rsidRPr="000A2EE0">
        <w:rPr>
          <w:rFonts w:ascii="Times New Roman" w:hAnsi="Times New Roman" w:cs="Times New Roman"/>
          <w:sz w:val="24"/>
          <w:szCs w:val="24"/>
          <w:lang w:eastAsia="hr-HR"/>
        </w:rPr>
        <w:t>Glavna djelatnost Društva je skupljanje neopasnog otpada (šifra po NKD 38.11).</w:t>
      </w:r>
      <w:r w:rsidR="00C8377A" w:rsidRPr="000A2EE0">
        <w:rPr>
          <w:rFonts w:ascii="Times New Roman" w:hAnsi="Times New Roman" w:cs="Times New Roman"/>
          <w:sz w:val="24"/>
          <w:szCs w:val="24"/>
          <w:lang w:eastAsia="hr-HR"/>
        </w:rPr>
        <w:t xml:space="preserve"> </w:t>
      </w:r>
    </w:p>
    <w:p w14:paraId="0C9A2E76" w14:textId="4736B2A9" w:rsidR="00142C13" w:rsidRPr="000A2EE0" w:rsidRDefault="00C8377A" w:rsidP="003B53F4">
      <w:p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 xml:space="preserve">Ostale djelatnosti </w:t>
      </w:r>
      <w:r w:rsidR="00F66139" w:rsidRPr="000A2EE0">
        <w:rPr>
          <w:rFonts w:ascii="Times New Roman" w:eastAsia="Times New Roman" w:hAnsi="Times New Roman" w:cs="Times New Roman"/>
          <w:kern w:val="0"/>
          <w:sz w:val="24"/>
          <w:szCs w:val="24"/>
          <w:lang w:eastAsia="hr-HR"/>
          <w14:ligatures w14:val="none"/>
        </w:rPr>
        <w:t xml:space="preserve">GKP ČAKOM d.o.o. </w:t>
      </w:r>
      <w:r w:rsidR="00872D52">
        <w:rPr>
          <w:rFonts w:ascii="Times New Roman" w:eastAsia="Times New Roman" w:hAnsi="Times New Roman" w:cs="Times New Roman"/>
          <w:kern w:val="0"/>
          <w:sz w:val="24"/>
          <w:szCs w:val="24"/>
          <w:lang w:eastAsia="hr-HR"/>
          <w14:ligatures w14:val="none"/>
        </w:rPr>
        <w:t xml:space="preserve">prema izvatku iz sudskog registra </w:t>
      </w:r>
      <w:r w:rsidR="00F66139" w:rsidRPr="000A2EE0">
        <w:rPr>
          <w:rFonts w:ascii="Times New Roman" w:eastAsia="Times New Roman" w:hAnsi="Times New Roman" w:cs="Times New Roman"/>
          <w:kern w:val="0"/>
          <w:sz w:val="24"/>
          <w:szCs w:val="24"/>
          <w:lang w:eastAsia="hr-HR"/>
          <w14:ligatures w14:val="none"/>
        </w:rPr>
        <w:t>su</w:t>
      </w:r>
      <w:r w:rsidR="00872D52">
        <w:rPr>
          <w:rFonts w:ascii="Times New Roman" w:eastAsia="Times New Roman" w:hAnsi="Times New Roman" w:cs="Times New Roman"/>
          <w:kern w:val="0"/>
          <w:sz w:val="24"/>
          <w:szCs w:val="24"/>
          <w:lang w:eastAsia="hr-HR"/>
          <w14:ligatures w14:val="none"/>
        </w:rPr>
        <w:t>:</w:t>
      </w:r>
    </w:p>
    <w:p w14:paraId="3123190B"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pogrebne i prateće djelatnosti</w:t>
      </w:r>
    </w:p>
    <w:p w14:paraId="2A847C7C"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odvodnja i pročišćavanje otpadnih voda</w:t>
      </w:r>
    </w:p>
    <w:p w14:paraId="37A87172"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tržnice na malo</w:t>
      </w:r>
    </w:p>
    <w:p w14:paraId="5414F86E"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trgovina na malo sjemenjem, gnojivom, kućnim ljubimcima i hranom za kućne ljubimce i suvenirima</w:t>
      </w:r>
    </w:p>
    <w:p w14:paraId="438B81E1"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održavanje groblja i krematorija te obavljanje pogrebnih poslova</w:t>
      </w:r>
    </w:p>
    <w:p w14:paraId="5A02807C"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uzgoj usjeva, vrtnoga i ukrasnoga bilja</w:t>
      </w:r>
    </w:p>
    <w:p w14:paraId="2D07F688"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održavanje i popravak motornih vozila</w:t>
      </w:r>
    </w:p>
    <w:p w14:paraId="25897EF3" w14:textId="4CCB0E4E"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popravak predmeta za osobnu i kuć</w:t>
      </w:r>
      <w:r w:rsidR="00F66139" w:rsidRPr="000A2EE0">
        <w:rPr>
          <w:rFonts w:ascii="Times New Roman" w:eastAsia="Times New Roman" w:hAnsi="Times New Roman" w:cs="Times New Roman"/>
          <w:kern w:val="0"/>
          <w:sz w:val="24"/>
          <w:szCs w:val="24"/>
          <w:lang w:eastAsia="hr-HR"/>
          <w14:ligatures w14:val="none"/>
        </w:rPr>
        <w:t>anstvo</w:t>
      </w:r>
    </w:p>
    <w:p w14:paraId="26D7E4F4"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održavanje javnih zelenih površina</w:t>
      </w:r>
    </w:p>
    <w:p w14:paraId="437732B7"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kupnja i prodaja robe</w:t>
      </w:r>
    </w:p>
    <w:p w14:paraId="4EE17AA9"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obavljanje trgovačkog posredovanja na domaćem i inozemnom tržištu</w:t>
      </w:r>
    </w:p>
    <w:p w14:paraId="3B2B799D"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građenje, projektiranje i nadzor nad građenjem</w:t>
      </w:r>
    </w:p>
    <w:p w14:paraId="0DE55C2C"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organiziranje i održavanje sajmova i izložbi</w:t>
      </w:r>
    </w:p>
    <w:p w14:paraId="330DB92F"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uređenje i održavanje cesta i prometnica, zelenih površina i prometne signalizacije, pauk služba, promet u mirovanju te uređenje, održavanje i naplata parkirališta</w:t>
      </w:r>
    </w:p>
    <w:p w14:paraId="30861891"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poslovanje nekretninama</w:t>
      </w:r>
    </w:p>
    <w:p w14:paraId="23693A02"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djelatnosti pakiranje</w:t>
      </w:r>
    </w:p>
    <w:p w14:paraId="16E33592"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naplata računa</w:t>
      </w:r>
    </w:p>
    <w:p w14:paraId="258AE986"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računovodstveni i knjigovodstveni poslovi</w:t>
      </w:r>
    </w:p>
    <w:p w14:paraId="5D2D7818"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proizvodnja komposta</w:t>
      </w:r>
    </w:p>
    <w:p w14:paraId="34651653"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održavanje javne rasvjete</w:t>
      </w:r>
    </w:p>
    <w:p w14:paraId="25162D52"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proizvodnja, distribucija i opskrba toplinskom energijom</w:t>
      </w:r>
    </w:p>
    <w:p w14:paraId="5ED55AFC"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djelatnost druge obrade otpada</w:t>
      </w:r>
    </w:p>
    <w:p w14:paraId="3A10583A"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djelatnost oporabe otpada</w:t>
      </w:r>
    </w:p>
    <w:p w14:paraId="20158B61"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djelatnost posredovanja u gospodarenju otpadom</w:t>
      </w:r>
    </w:p>
    <w:p w14:paraId="7590C7B3"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djelatnost prijevoza otpada</w:t>
      </w:r>
    </w:p>
    <w:p w14:paraId="4E4A1876"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djelatnost skupljanja otpada</w:t>
      </w:r>
    </w:p>
    <w:p w14:paraId="0B993938"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lastRenderedPageBreak/>
        <w:t>djelatnost trgovanja otpadom</w:t>
      </w:r>
    </w:p>
    <w:p w14:paraId="1034BE5D"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djelatnost zbrinjavanja otpada</w:t>
      </w:r>
    </w:p>
    <w:p w14:paraId="52779EEC"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gospodarenje otpadom</w:t>
      </w:r>
    </w:p>
    <w:p w14:paraId="521892DC"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djelatnost čišćenja</w:t>
      </w:r>
    </w:p>
    <w:p w14:paraId="4DD5A5ED"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pružanje usluga u trgovini</w:t>
      </w:r>
    </w:p>
    <w:p w14:paraId="184B5A7A" w14:textId="77777777"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zastupanje inozemnih tvrtki</w:t>
      </w:r>
    </w:p>
    <w:p w14:paraId="1DDACAF2" w14:textId="109A9344" w:rsidR="008404D4" w:rsidRPr="000A2EE0" w:rsidRDefault="008404D4"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usluge info</w:t>
      </w:r>
      <w:r w:rsidR="00CA6C46" w:rsidRPr="000A2EE0">
        <w:rPr>
          <w:rFonts w:ascii="Times New Roman" w:eastAsia="Times New Roman" w:hAnsi="Times New Roman" w:cs="Times New Roman"/>
          <w:kern w:val="0"/>
          <w:sz w:val="24"/>
          <w:szCs w:val="24"/>
          <w:lang w:eastAsia="hr-HR"/>
          <w14:ligatures w14:val="none"/>
        </w:rPr>
        <w:t>r</w:t>
      </w:r>
      <w:r w:rsidRPr="000A2EE0">
        <w:rPr>
          <w:rFonts w:ascii="Times New Roman" w:eastAsia="Times New Roman" w:hAnsi="Times New Roman" w:cs="Times New Roman"/>
          <w:kern w:val="0"/>
          <w:sz w:val="24"/>
          <w:szCs w:val="24"/>
          <w:lang w:eastAsia="hr-HR"/>
          <w14:ligatures w14:val="none"/>
        </w:rPr>
        <w:t>macijskog društva</w:t>
      </w:r>
    </w:p>
    <w:p w14:paraId="4BF0E255" w14:textId="3E213533" w:rsidR="00CA6C46" w:rsidRPr="000A2EE0" w:rsidRDefault="00CA6C46"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prijevoz putnika u unutarnjem cestovnom prometu</w:t>
      </w:r>
    </w:p>
    <w:p w14:paraId="53F884DF" w14:textId="266C1E2B" w:rsidR="00CA6C46" w:rsidRPr="000A2EE0" w:rsidRDefault="00CA6C46"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prijevoz putnika u međunarodnom cestovnom prometu</w:t>
      </w:r>
    </w:p>
    <w:p w14:paraId="2B49C4B1" w14:textId="3A2B023C" w:rsidR="00CA6C46" w:rsidRPr="000A2EE0" w:rsidRDefault="00CA6C46"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prijevoz tereta u unutarnjem cestovnom prometu</w:t>
      </w:r>
    </w:p>
    <w:p w14:paraId="1BE378E1" w14:textId="205B7C88" w:rsidR="00CA6C46" w:rsidRPr="000A2EE0" w:rsidRDefault="00CA6C46"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prijevoz tereta u međunarodnom cestovnom prometu</w:t>
      </w:r>
    </w:p>
    <w:p w14:paraId="5706BEB4" w14:textId="02718205" w:rsidR="00CA6C46" w:rsidRPr="000A2EE0" w:rsidRDefault="00CA6C46"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prijevoz osoba i tereta za vlastite potrebe</w:t>
      </w:r>
    </w:p>
    <w:p w14:paraId="22B8D859" w14:textId="0715FFC9" w:rsidR="00CA6C46" w:rsidRPr="000A2EE0" w:rsidRDefault="00CA6C46" w:rsidP="003B53F4">
      <w:pPr>
        <w:numPr>
          <w:ilvl w:val="0"/>
          <w:numId w:val="1"/>
        </w:num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agencijska djelatnost u cestovnom prijevozu</w:t>
      </w:r>
    </w:p>
    <w:p w14:paraId="2D272C05" w14:textId="77777777" w:rsidR="00D4060D" w:rsidRPr="000A2EE0" w:rsidRDefault="00D4060D" w:rsidP="003B53F4">
      <w:pPr>
        <w:spacing w:after="0" w:line="276" w:lineRule="auto"/>
        <w:ind w:firstLine="708"/>
        <w:jc w:val="both"/>
        <w:rPr>
          <w:rFonts w:ascii="Times New Roman" w:eastAsia="Times New Roman" w:hAnsi="Times New Roman" w:cs="Times New Roman"/>
          <w:kern w:val="0"/>
          <w:sz w:val="24"/>
          <w:szCs w:val="24"/>
          <w:lang w:eastAsia="hr-HR"/>
          <w14:ligatures w14:val="none"/>
        </w:rPr>
      </w:pPr>
    </w:p>
    <w:p w14:paraId="5B138145" w14:textId="4BE8FD2B" w:rsidR="00142C13" w:rsidRPr="000A2EE0" w:rsidRDefault="00D4060D" w:rsidP="003B53F4">
      <w:pPr>
        <w:spacing w:after="0" w:line="276" w:lineRule="auto"/>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Društvo svoje djelatnosti obavlja na više lokacija:</w:t>
      </w:r>
      <w:r w:rsidR="00C8377A" w:rsidRPr="000A2EE0">
        <w:rPr>
          <w:rFonts w:ascii="Times New Roman" w:eastAsia="Times New Roman" w:hAnsi="Times New Roman" w:cs="Times New Roman"/>
          <w:kern w:val="0"/>
          <w:sz w:val="24"/>
          <w:szCs w:val="24"/>
          <w:lang w:eastAsia="hr-HR"/>
          <w14:ligatures w14:val="none"/>
        </w:rPr>
        <w:t xml:space="preserve"> </w:t>
      </w:r>
    </w:p>
    <w:p w14:paraId="3CE50E81" w14:textId="0BBCF383" w:rsidR="00D4060D" w:rsidRPr="000A2EE0" w:rsidRDefault="00D4060D" w:rsidP="003B53F4">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 Uprava – Mihovljanska 10, Mihovljan, Čakovec</w:t>
      </w:r>
    </w:p>
    <w:p w14:paraId="46C3831F" w14:textId="104BF3FA" w:rsidR="00D4060D" w:rsidRPr="000A2EE0" w:rsidRDefault="00D4060D" w:rsidP="003B53F4">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 Blagajna – Kralja Tomislava 1</w:t>
      </w:r>
      <w:r w:rsidR="00E32978" w:rsidRPr="000A2EE0">
        <w:rPr>
          <w:rFonts w:ascii="Times New Roman" w:eastAsia="Times New Roman" w:hAnsi="Times New Roman" w:cs="Times New Roman"/>
          <w:kern w:val="0"/>
          <w:sz w:val="24"/>
          <w:szCs w:val="24"/>
          <w:lang w:eastAsia="hr-HR"/>
          <w14:ligatures w14:val="none"/>
        </w:rPr>
        <w:t>9</w:t>
      </w:r>
      <w:r w:rsidRPr="000A2EE0">
        <w:rPr>
          <w:rFonts w:ascii="Times New Roman" w:eastAsia="Times New Roman" w:hAnsi="Times New Roman" w:cs="Times New Roman"/>
          <w:kern w:val="0"/>
          <w:sz w:val="24"/>
          <w:szCs w:val="24"/>
          <w:lang w:eastAsia="hr-HR"/>
          <w14:ligatures w14:val="none"/>
        </w:rPr>
        <w:t>, Čakovec</w:t>
      </w:r>
    </w:p>
    <w:p w14:paraId="31067B2B" w14:textId="5C123635" w:rsidR="00D4060D" w:rsidRPr="000A2EE0" w:rsidRDefault="00D4060D" w:rsidP="003B53F4">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 xml:space="preserve">- Tržnica – </w:t>
      </w:r>
      <w:r w:rsidR="00E32978" w:rsidRPr="000A2EE0">
        <w:rPr>
          <w:rFonts w:ascii="Times New Roman" w:eastAsia="Times New Roman" w:hAnsi="Times New Roman" w:cs="Times New Roman"/>
          <w:kern w:val="0"/>
          <w:sz w:val="24"/>
          <w:szCs w:val="24"/>
          <w:lang w:eastAsia="hr-HR"/>
          <w14:ligatures w14:val="none"/>
        </w:rPr>
        <w:t xml:space="preserve">Ulica </w:t>
      </w:r>
      <w:r w:rsidRPr="000A2EE0">
        <w:rPr>
          <w:rFonts w:ascii="Times New Roman" w:eastAsia="Times New Roman" w:hAnsi="Times New Roman" w:cs="Times New Roman"/>
          <w:kern w:val="0"/>
          <w:sz w:val="24"/>
          <w:szCs w:val="24"/>
          <w:lang w:eastAsia="hr-HR"/>
          <w14:ligatures w14:val="none"/>
        </w:rPr>
        <w:t>Valenta Morandinija</w:t>
      </w:r>
      <w:r w:rsidR="00E32978" w:rsidRPr="000A2EE0">
        <w:rPr>
          <w:rFonts w:ascii="Times New Roman" w:eastAsia="Times New Roman" w:hAnsi="Times New Roman" w:cs="Times New Roman"/>
          <w:kern w:val="0"/>
          <w:sz w:val="24"/>
          <w:szCs w:val="24"/>
          <w:lang w:eastAsia="hr-HR"/>
          <w14:ligatures w14:val="none"/>
        </w:rPr>
        <w:t xml:space="preserve"> 23A</w:t>
      </w:r>
      <w:r w:rsidRPr="000A2EE0">
        <w:rPr>
          <w:rFonts w:ascii="Times New Roman" w:eastAsia="Times New Roman" w:hAnsi="Times New Roman" w:cs="Times New Roman"/>
          <w:kern w:val="0"/>
          <w:sz w:val="24"/>
          <w:szCs w:val="24"/>
          <w:lang w:eastAsia="hr-HR"/>
          <w14:ligatures w14:val="none"/>
        </w:rPr>
        <w:t>, Čakovec</w:t>
      </w:r>
    </w:p>
    <w:p w14:paraId="1A3ED5C9" w14:textId="13DFC8AA" w:rsidR="00D4060D" w:rsidRPr="000A2EE0" w:rsidRDefault="00D4060D" w:rsidP="003B53F4">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 Odlagalište neopasnog otpada Totovec – Gospodarska 2, Totovec</w:t>
      </w:r>
    </w:p>
    <w:p w14:paraId="62E3E07F" w14:textId="44453030" w:rsidR="00CA6C46" w:rsidRDefault="00D4060D" w:rsidP="003B53F4">
      <w:pPr>
        <w:spacing w:after="0" w:line="276" w:lineRule="auto"/>
        <w:ind w:firstLine="708"/>
        <w:jc w:val="both"/>
        <w:rPr>
          <w:rFonts w:ascii="Times New Roman" w:eastAsia="Times New Roman" w:hAnsi="Times New Roman" w:cs="Times New Roman"/>
          <w:kern w:val="0"/>
          <w:sz w:val="24"/>
          <w:szCs w:val="24"/>
          <w:lang w:eastAsia="hr-HR"/>
          <w14:ligatures w14:val="none"/>
        </w:rPr>
      </w:pPr>
      <w:r w:rsidRPr="000A2EE0">
        <w:rPr>
          <w:rFonts w:ascii="Times New Roman" w:eastAsia="Times New Roman" w:hAnsi="Times New Roman" w:cs="Times New Roman"/>
          <w:kern w:val="0"/>
          <w:sz w:val="24"/>
          <w:szCs w:val="24"/>
          <w:lang w:eastAsia="hr-HR"/>
          <w14:ligatures w14:val="none"/>
        </w:rPr>
        <w:t>- Sortirnica – Gospodarska 1, Totovec</w:t>
      </w:r>
    </w:p>
    <w:p w14:paraId="5CA92F4A" w14:textId="1DA94ED7" w:rsidR="00FB3BAC" w:rsidRPr="000A2EE0" w:rsidRDefault="00FB3BAC" w:rsidP="003B53F4">
      <w:pPr>
        <w:spacing w:after="0" w:line="276" w:lineRule="auto"/>
        <w:ind w:firstLine="708"/>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Garaže – Vladimira Nazora, Čakovec</w:t>
      </w:r>
    </w:p>
    <w:p w14:paraId="5C211F1D" w14:textId="77777777" w:rsidR="00CA6C46" w:rsidRPr="000A2EE0" w:rsidRDefault="00CA6C46" w:rsidP="003B53F4">
      <w:pPr>
        <w:spacing w:after="0" w:line="276" w:lineRule="auto"/>
        <w:ind w:firstLine="720"/>
        <w:jc w:val="both"/>
        <w:rPr>
          <w:rFonts w:ascii="Times New Roman" w:eastAsia="Times New Roman" w:hAnsi="Times New Roman" w:cs="Times New Roman"/>
          <w:kern w:val="0"/>
          <w:sz w:val="24"/>
          <w:szCs w:val="24"/>
          <w:lang w:eastAsia="hr-HR"/>
          <w14:ligatures w14:val="none"/>
        </w:rPr>
      </w:pPr>
    </w:p>
    <w:p w14:paraId="68188D11" w14:textId="32200CC7" w:rsidR="00267C97" w:rsidRPr="000A2EE0" w:rsidRDefault="008404D4" w:rsidP="00EF4B60">
      <w:pPr>
        <w:spacing w:after="0" w:line="276" w:lineRule="auto"/>
        <w:jc w:val="both"/>
        <w:rPr>
          <w:rFonts w:ascii="Times New Roman" w:hAnsi="Times New Roman" w:cs="Times New Roman"/>
          <w:sz w:val="24"/>
          <w:szCs w:val="24"/>
        </w:rPr>
      </w:pPr>
      <w:r w:rsidRPr="00225C48">
        <w:rPr>
          <w:rFonts w:ascii="Times New Roman" w:eastAsia="Times New Roman" w:hAnsi="Times New Roman" w:cs="Times New Roman"/>
          <w:kern w:val="0"/>
          <w:sz w:val="24"/>
          <w:szCs w:val="24"/>
          <w:lang w:eastAsia="hr-HR"/>
          <w14:ligatures w14:val="none"/>
        </w:rPr>
        <w:t xml:space="preserve">U </w:t>
      </w:r>
      <w:r w:rsidR="00A073CA" w:rsidRPr="00225C48">
        <w:rPr>
          <w:rFonts w:ascii="Times New Roman" w:eastAsia="Times New Roman" w:hAnsi="Times New Roman" w:cs="Times New Roman"/>
          <w:kern w:val="0"/>
          <w:sz w:val="24"/>
          <w:szCs w:val="24"/>
          <w:lang w:eastAsia="hr-HR"/>
          <w14:ligatures w14:val="none"/>
        </w:rPr>
        <w:t>okviru</w:t>
      </w:r>
      <w:r w:rsidRPr="00225C48">
        <w:rPr>
          <w:rFonts w:ascii="Times New Roman" w:eastAsia="Times New Roman" w:hAnsi="Times New Roman" w:cs="Times New Roman"/>
          <w:kern w:val="0"/>
          <w:sz w:val="24"/>
          <w:szCs w:val="24"/>
          <w:lang w:eastAsia="hr-HR"/>
          <w14:ligatures w14:val="none"/>
        </w:rPr>
        <w:t xml:space="preserve"> </w:t>
      </w:r>
      <w:r w:rsidR="000E009E" w:rsidRPr="00225C48">
        <w:rPr>
          <w:rFonts w:ascii="Times New Roman" w:eastAsia="Times New Roman" w:hAnsi="Times New Roman" w:cs="Times New Roman"/>
          <w:kern w:val="0"/>
          <w:sz w:val="24"/>
          <w:szCs w:val="24"/>
          <w:lang w:eastAsia="hr-HR"/>
          <w14:ligatures w14:val="none"/>
        </w:rPr>
        <w:t>glavne</w:t>
      </w:r>
      <w:r w:rsidRPr="000A2EE0">
        <w:rPr>
          <w:rFonts w:ascii="Times New Roman" w:eastAsia="Times New Roman" w:hAnsi="Times New Roman" w:cs="Times New Roman"/>
          <w:kern w:val="0"/>
          <w:sz w:val="24"/>
          <w:szCs w:val="24"/>
          <w:lang w:eastAsia="hr-HR"/>
          <w14:ligatures w14:val="none"/>
        </w:rPr>
        <w:t xml:space="preserve"> djelatnosti GKP ČAKOM d.o.o. </w:t>
      </w:r>
      <w:r w:rsidR="00142C13" w:rsidRPr="000A2EE0">
        <w:rPr>
          <w:rFonts w:ascii="Times New Roman" w:eastAsia="Times New Roman" w:hAnsi="Times New Roman" w:cs="Times New Roman"/>
          <w:kern w:val="0"/>
          <w:sz w:val="24"/>
          <w:szCs w:val="24"/>
          <w:lang w:eastAsia="hr-HR"/>
          <w14:ligatures w14:val="none"/>
        </w:rPr>
        <w:t xml:space="preserve">pruža </w:t>
      </w:r>
      <w:r w:rsidR="00D4060D" w:rsidRPr="000A2EE0">
        <w:rPr>
          <w:rFonts w:ascii="Times New Roman" w:eastAsia="Times New Roman" w:hAnsi="Times New Roman" w:cs="Times New Roman"/>
          <w:kern w:val="0"/>
          <w:sz w:val="24"/>
          <w:szCs w:val="24"/>
          <w:lang w:eastAsia="hr-HR"/>
          <w14:ligatures w14:val="none"/>
        </w:rPr>
        <w:t xml:space="preserve">javnu uslugu </w:t>
      </w:r>
      <w:r w:rsidR="005025A2">
        <w:rPr>
          <w:rFonts w:ascii="Times New Roman" w:eastAsia="Times New Roman" w:hAnsi="Times New Roman" w:cs="Times New Roman"/>
          <w:kern w:val="0"/>
          <w:sz w:val="24"/>
          <w:szCs w:val="24"/>
          <w:lang w:eastAsia="hr-HR"/>
          <w14:ligatures w14:val="none"/>
        </w:rPr>
        <w:t>prikupljanja</w:t>
      </w:r>
      <w:r w:rsidR="00F85347">
        <w:rPr>
          <w:rFonts w:ascii="Times New Roman" w:eastAsia="Times New Roman" w:hAnsi="Times New Roman" w:cs="Times New Roman"/>
          <w:kern w:val="0"/>
          <w:sz w:val="24"/>
          <w:szCs w:val="24"/>
          <w:lang w:eastAsia="hr-HR"/>
          <w14:ligatures w14:val="none"/>
        </w:rPr>
        <w:t xml:space="preserve"> i zbrinjavanja</w:t>
      </w:r>
      <w:r w:rsidR="00D4060D" w:rsidRPr="000A2EE0">
        <w:rPr>
          <w:rFonts w:ascii="Times New Roman" w:eastAsia="Times New Roman" w:hAnsi="Times New Roman" w:cs="Times New Roman"/>
          <w:kern w:val="0"/>
          <w:sz w:val="24"/>
          <w:szCs w:val="24"/>
          <w:lang w:eastAsia="hr-HR"/>
          <w14:ligatures w14:val="none"/>
        </w:rPr>
        <w:t xml:space="preserve"> komunalnog otpada </w:t>
      </w:r>
      <w:r w:rsidRPr="000A2EE0">
        <w:rPr>
          <w:rFonts w:ascii="Times New Roman" w:eastAsia="Times New Roman" w:hAnsi="Times New Roman" w:cs="Times New Roman"/>
          <w:kern w:val="0"/>
          <w:sz w:val="24"/>
          <w:szCs w:val="24"/>
          <w:lang w:eastAsia="hr-HR"/>
          <w14:ligatures w14:val="none"/>
        </w:rPr>
        <w:t xml:space="preserve">na području Grada Čakovca, Općine </w:t>
      </w:r>
      <w:r w:rsidR="00D4060D" w:rsidRPr="000A2EE0">
        <w:rPr>
          <w:rFonts w:ascii="Times New Roman" w:eastAsia="Times New Roman" w:hAnsi="Times New Roman" w:cs="Times New Roman"/>
          <w:kern w:val="0"/>
          <w:sz w:val="24"/>
          <w:szCs w:val="24"/>
          <w:lang w:eastAsia="hr-HR"/>
          <w14:ligatures w14:val="none"/>
        </w:rPr>
        <w:t>Nedelišće</w:t>
      </w:r>
      <w:r w:rsidRPr="000A2EE0">
        <w:rPr>
          <w:rFonts w:ascii="Times New Roman" w:eastAsia="Times New Roman" w:hAnsi="Times New Roman" w:cs="Times New Roman"/>
          <w:kern w:val="0"/>
          <w:sz w:val="24"/>
          <w:szCs w:val="24"/>
          <w:lang w:eastAsia="hr-HR"/>
          <w14:ligatures w14:val="none"/>
        </w:rPr>
        <w:t xml:space="preserve">, </w:t>
      </w:r>
      <w:r w:rsidR="00D4060D" w:rsidRPr="000A2EE0">
        <w:rPr>
          <w:rFonts w:ascii="Times New Roman" w:eastAsia="Times New Roman" w:hAnsi="Times New Roman" w:cs="Times New Roman"/>
          <w:kern w:val="0"/>
          <w:sz w:val="24"/>
          <w:szCs w:val="24"/>
          <w:lang w:eastAsia="hr-HR"/>
          <w14:ligatures w14:val="none"/>
        </w:rPr>
        <w:t xml:space="preserve">Općine </w:t>
      </w:r>
      <w:r w:rsidRPr="000A2EE0">
        <w:rPr>
          <w:rFonts w:ascii="Times New Roman" w:eastAsia="Times New Roman" w:hAnsi="Times New Roman" w:cs="Times New Roman"/>
          <w:kern w:val="0"/>
          <w:sz w:val="24"/>
          <w:szCs w:val="24"/>
          <w:lang w:eastAsia="hr-HR"/>
          <w14:ligatures w14:val="none"/>
        </w:rPr>
        <w:t xml:space="preserve">Strahoninec, </w:t>
      </w:r>
      <w:r w:rsidR="00D4060D" w:rsidRPr="000A2EE0">
        <w:rPr>
          <w:rFonts w:ascii="Times New Roman" w:eastAsia="Times New Roman" w:hAnsi="Times New Roman" w:cs="Times New Roman"/>
          <w:kern w:val="0"/>
          <w:sz w:val="24"/>
          <w:szCs w:val="24"/>
          <w:lang w:eastAsia="hr-HR"/>
          <w14:ligatures w14:val="none"/>
        </w:rPr>
        <w:t>Općine Šenkovec</w:t>
      </w:r>
      <w:r w:rsidRPr="000A2EE0">
        <w:rPr>
          <w:rFonts w:ascii="Times New Roman" w:eastAsia="Times New Roman" w:hAnsi="Times New Roman" w:cs="Times New Roman"/>
          <w:kern w:val="0"/>
          <w:sz w:val="24"/>
          <w:szCs w:val="24"/>
          <w:lang w:eastAsia="hr-HR"/>
          <w14:ligatures w14:val="none"/>
        </w:rPr>
        <w:t xml:space="preserve">, </w:t>
      </w:r>
      <w:r w:rsidR="00D4060D" w:rsidRPr="000A2EE0">
        <w:rPr>
          <w:rFonts w:ascii="Times New Roman" w:eastAsia="Times New Roman" w:hAnsi="Times New Roman" w:cs="Times New Roman"/>
          <w:kern w:val="0"/>
          <w:sz w:val="24"/>
          <w:szCs w:val="24"/>
          <w:lang w:eastAsia="hr-HR"/>
          <w14:ligatures w14:val="none"/>
        </w:rPr>
        <w:t xml:space="preserve">Općine </w:t>
      </w:r>
      <w:r w:rsidRPr="000A2EE0">
        <w:rPr>
          <w:rFonts w:ascii="Times New Roman" w:eastAsia="Times New Roman" w:hAnsi="Times New Roman" w:cs="Times New Roman"/>
          <w:kern w:val="0"/>
          <w:sz w:val="24"/>
          <w:szCs w:val="24"/>
          <w:lang w:eastAsia="hr-HR"/>
          <w14:ligatures w14:val="none"/>
        </w:rPr>
        <w:t>Orehovica,</w:t>
      </w:r>
      <w:r w:rsidR="00D4060D" w:rsidRPr="000A2EE0">
        <w:rPr>
          <w:rFonts w:ascii="Times New Roman" w:eastAsia="Times New Roman" w:hAnsi="Times New Roman" w:cs="Times New Roman"/>
          <w:kern w:val="0"/>
          <w:sz w:val="24"/>
          <w:szCs w:val="24"/>
          <w:lang w:eastAsia="hr-HR"/>
          <w14:ligatures w14:val="none"/>
        </w:rPr>
        <w:t xml:space="preserve"> Općine</w:t>
      </w:r>
      <w:r w:rsidRPr="000A2EE0">
        <w:rPr>
          <w:rFonts w:ascii="Times New Roman" w:eastAsia="Times New Roman" w:hAnsi="Times New Roman" w:cs="Times New Roman"/>
          <w:kern w:val="0"/>
          <w:sz w:val="24"/>
          <w:szCs w:val="24"/>
          <w:lang w:eastAsia="hr-HR"/>
          <w14:ligatures w14:val="none"/>
        </w:rPr>
        <w:t xml:space="preserve"> Mala Subotica</w:t>
      </w:r>
      <w:r w:rsidR="00D4060D" w:rsidRPr="000A2EE0">
        <w:rPr>
          <w:rFonts w:ascii="Times New Roman" w:eastAsia="Times New Roman" w:hAnsi="Times New Roman" w:cs="Times New Roman"/>
          <w:kern w:val="0"/>
          <w:sz w:val="24"/>
          <w:szCs w:val="24"/>
          <w:lang w:eastAsia="hr-HR"/>
          <w14:ligatures w14:val="none"/>
        </w:rPr>
        <w:t xml:space="preserve"> i Općine Štrigova. </w:t>
      </w:r>
      <w:r w:rsidR="000E009E">
        <w:rPr>
          <w:rFonts w:ascii="Times New Roman" w:eastAsia="Times New Roman" w:hAnsi="Times New Roman" w:cs="Times New Roman"/>
          <w:kern w:val="0"/>
          <w:sz w:val="24"/>
          <w:szCs w:val="24"/>
          <w:lang w:eastAsia="hr-HR"/>
          <w14:ligatures w14:val="none"/>
        </w:rPr>
        <w:t xml:space="preserve">Uz navedenu djelatnost, </w:t>
      </w:r>
      <w:r w:rsidRPr="000A2EE0">
        <w:rPr>
          <w:rFonts w:ascii="Times New Roman" w:eastAsia="Times New Roman" w:hAnsi="Times New Roman" w:cs="Times New Roman"/>
          <w:kern w:val="0"/>
          <w:sz w:val="24"/>
          <w:szCs w:val="24"/>
          <w:lang w:eastAsia="hr-HR"/>
          <w14:ligatures w14:val="none"/>
        </w:rPr>
        <w:t>GKP ČAKOM d.o.o. obavlja</w:t>
      </w:r>
      <w:r w:rsidR="009100D3">
        <w:rPr>
          <w:rFonts w:ascii="Times New Roman" w:eastAsia="Times New Roman" w:hAnsi="Times New Roman" w:cs="Times New Roman"/>
          <w:kern w:val="0"/>
          <w:sz w:val="24"/>
          <w:szCs w:val="24"/>
          <w:lang w:eastAsia="hr-HR"/>
          <w14:ligatures w14:val="none"/>
        </w:rPr>
        <w:t xml:space="preserve"> i</w:t>
      </w:r>
      <w:r w:rsidRPr="000A2EE0">
        <w:rPr>
          <w:rFonts w:ascii="Times New Roman" w:eastAsia="Times New Roman" w:hAnsi="Times New Roman" w:cs="Times New Roman"/>
          <w:kern w:val="0"/>
          <w:sz w:val="24"/>
          <w:szCs w:val="24"/>
          <w:lang w:eastAsia="hr-HR"/>
          <w14:ligatures w14:val="none"/>
        </w:rPr>
        <w:t xml:space="preserve"> pogrebne usluge </w:t>
      </w:r>
      <w:r w:rsidR="000E009E">
        <w:rPr>
          <w:rFonts w:ascii="Times New Roman" w:eastAsia="Times New Roman" w:hAnsi="Times New Roman" w:cs="Times New Roman"/>
          <w:kern w:val="0"/>
          <w:sz w:val="24"/>
          <w:szCs w:val="24"/>
          <w:lang w:eastAsia="hr-HR"/>
          <w14:ligatures w14:val="none"/>
        </w:rPr>
        <w:t>te</w:t>
      </w:r>
      <w:r w:rsidRPr="000A2EE0">
        <w:rPr>
          <w:rFonts w:ascii="Times New Roman" w:eastAsia="Times New Roman" w:hAnsi="Times New Roman" w:cs="Times New Roman"/>
          <w:kern w:val="0"/>
          <w:sz w:val="24"/>
          <w:szCs w:val="24"/>
          <w:lang w:eastAsia="hr-HR"/>
          <w14:ligatures w14:val="none"/>
        </w:rPr>
        <w:t xml:space="preserve"> uslug</w:t>
      </w:r>
      <w:r w:rsidR="000E009E">
        <w:rPr>
          <w:rFonts w:ascii="Times New Roman" w:eastAsia="Times New Roman" w:hAnsi="Times New Roman" w:cs="Times New Roman"/>
          <w:kern w:val="0"/>
          <w:sz w:val="24"/>
          <w:szCs w:val="24"/>
          <w:lang w:eastAsia="hr-HR"/>
          <w14:ligatures w14:val="none"/>
        </w:rPr>
        <w:t>e</w:t>
      </w:r>
      <w:r w:rsidRPr="000A2EE0">
        <w:rPr>
          <w:rFonts w:ascii="Times New Roman" w:eastAsia="Times New Roman" w:hAnsi="Times New Roman" w:cs="Times New Roman"/>
          <w:kern w:val="0"/>
          <w:sz w:val="24"/>
          <w:szCs w:val="24"/>
          <w:lang w:eastAsia="hr-HR"/>
          <w14:ligatures w14:val="none"/>
        </w:rPr>
        <w:t xml:space="preserve"> održavanja groblja na </w:t>
      </w:r>
      <w:r w:rsidR="0036343C">
        <w:rPr>
          <w:rFonts w:ascii="Times New Roman" w:eastAsia="Times New Roman" w:hAnsi="Times New Roman" w:cs="Times New Roman"/>
          <w:kern w:val="0"/>
          <w:sz w:val="24"/>
          <w:szCs w:val="24"/>
          <w:lang w:eastAsia="hr-HR"/>
          <w14:ligatures w14:val="none"/>
        </w:rPr>
        <w:t xml:space="preserve">gradskom groblju u Mihovljanu i mjesnim grobljima u </w:t>
      </w:r>
      <w:r w:rsidRPr="000A2EE0">
        <w:rPr>
          <w:rFonts w:ascii="Times New Roman" w:eastAsia="Times New Roman" w:hAnsi="Times New Roman" w:cs="Times New Roman"/>
          <w:kern w:val="0"/>
          <w:sz w:val="24"/>
          <w:szCs w:val="24"/>
          <w:lang w:eastAsia="hr-HR"/>
          <w14:ligatures w14:val="none"/>
        </w:rPr>
        <w:t>Ivanov</w:t>
      </w:r>
      <w:r w:rsidR="0036343C">
        <w:rPr>
          <w:rFonts w:ascii="Times New Roman" w:eastAsia="Times New Roman" w:hAnsi="Times New Roman" w:cs="Times New Roman"/>
          <w:kern w:val="0"/>
          <w:sz w:val="24"/>
          <w:szCs w:val="24"/>
          <w:lang w:eastAsia="hr-HR"/>
          <w14:ligatures w14:val="none"/>
        </w:rPr>
        <w:t xml:space="preserve">cu i </w:t>
      </w:r>
      <w:r w:rsidRPr="000A2EE0">
        <w:rPr>
          <w:rFonts w:ascii="Times New Roman" w:eastAsia="Times New Roman" w:hAnsi="Times New Roman" w:cs="Times New Roman"/>
          <w:kern w:val="0"/>
          <w:sz w:val="24"/>
          <w:szCs w:val="24"/>
          <w:lang w:eastAsia="hr-HR"/>
          <w14:ligatures w14:val="none"/>
        </w:rPr>
        <w:t>Šandorov</w:t>
      </w:r>
      <w:r w:rsidR="0036343C">
        <w:rPr>
          <w:rFonts w:ascii="Times New Roman" w:eastAsia="Times New Roman" w:hAnsi="Times New Roman" w:cs="Times New Roman"/>
          <w:kern w:val="0"/>
          <w:sz w:val="24"/>
          <w:szCs w:val="24"/>
          <w:lang w:eastAsia="hr-HR"/>
          <w14:ligatures w14:val="none"/>
        </w:rPr>
        <w:t>cu</w:t>
      </w:r>
      <w:r w:rsidRPr="000A2EE0">
        <w:rPr>
          <w:rFonts w:ascii="Times New Roman" w:eastAsia="Times New Roman" w:hAnsi="Times New Roman" w:cs="Times New Roman"/>
          <w:kern w:val="0"/>
          <w:sz w:val="24"/>
          <w:szCs w:val="24"/>
          <w:lang w:eastAsia="hr-HR"/>
          <w14:ligatures w14:val="none"/>
        </w:rPr>
        <w:t xml:space="preserve"> (područje Grada Čakovca) te grobljima Općine </w:t>
      </w:r>
      <w:r w:rsidR="00421DEE" w:rsidRPr="000A2EE0">
        <w:rPr>
          <w:rFonts w:ascii="Times New Roman" w:eastAsia="Times New Roman" w:hAnsi="Times New Roman" w:cs="Times New Roman"/>
          <w:kern w:val="0"/>
          <w:sz w:val="24"/>
          <w:szCs w:val="24"/>
          <w:lang w:eastAsia="hr-HR"/>
          <w14:ligatures w14:val="none"/>
        </w:rPr>
        <w:t>Orehovica i Općine Gornji Mihaljevec</w:t>
      </w:r>
      <w:r w:rsidRPr="000A2EE0">
        <w:rPr>
          <w:rFonts w:ascii="Times New Roman" w:eastAsia="Times New Roman" w:hAnsi="Times New Roman" w:cs="Times New Roman"/>
          <w:kern w:val="0"/>
          <w:sz w:val="24"/>
          <w:szCs w:val="24"/>
          <w:lang w:eastAsia="hr-HR"/>
          <w14:ligatures w14:val="none"/>
        </w:rPr>
        <w:t xml:space="preserve">. </w:t>
      </w:r>
      <w:r w:rsidR="0036343C">
        <w:rPr>
          <w:rFonts w:ascii="Times New Roman" w:eastAsia="Times New Roman" w:hAnsi="Times New Roman" w:cs="Times New Roman"/>
          <w:kern w:val="0"/>
          <w:sz w:val="24"/>
          <w:szCs w:val="24"/>
          <w:lang w:eastAsia="hr-HR"/>
          <w14:ligatures w14:val="none"/>
        </w:rPr>
        <w:t>Na području Grada Čakovca GKP ČAKOM d.o.o. obavlja d</w:t>
      </w:r>
      <w:r w:rsidRPr="000A2EE0">
        <w:rPr>
          <w:rFonts w:ascii="Times New Roman" w:eastAsia="Times New Roman" w:hAnsi="Times New Roman" w:cs="Times New Roman"/>
          <w:kern w:val="0"/>
          <w:sz w:val="24"/>
          <w:szCs w:val="24"/>
          <w:lang w:eastAsia="hr-HR"/>
          <w14:ligatures w14:val="none"/>
        </w:rPr>
        <w:t>jelatnost održavanj</w:t>
      </w:r>
      <w:r w:rsidR="0036343C">
        <w:rPr>
          <w:rFonts w:ascii="Times New Roman" w:eastAsia="Times New Roman" w:hAnsi="Times New Roman" w:cs="Times New Roman"/>
          <w:kern w:val="0"/>
          <w:sz w:val="24"/>
          <w:szCs w:val="24"/>
          <w:lang w:eastAsia="hr-HR"/>
          <w14:ligatures w14:val="none"/>
        </w:rPr>
        <w:t>a</w:t>
      </w:r>
      <w:r w:rsidRPr="000A2EE0">
        <w:rPr>
          <w:rFonts w:ascii="Times New Roman" w:eastAsia="Times New Roman" w:hAnsi="Times New Roman" w:cs="Times New Roman"/>
          <w:kern w:val="0"/>
          <w:sz w:val="24"/>
          <w:szCs w:val="24"/>
          <w:lang w:eastAsia="hr-HR"/>
          <w14:ligatures w14:val="none"/>
        </w:rPr>
        <w:t xml:space="preserve"> javnih i zelenih površina</w:t>
      </w:r>
      <w:r w:rsidR="0036343C">
        <w:rPr>
          <w:rFonts w:ascii="Times New Roman" w:eastAsia="Times New Roman" w:hAnsi="Times New Roman" w:cs="Times New Roman"/>
          <w:kern w:val="0"/>
          <w:sz w:val="24"/>
          <w:szCs w:val="24"/>
          <w:lang w:eastAsia="hr-HR"/>
          <w14:ligatures w14:val="none"/>
        </w:rPr>
        <w:t xml:space="preserve">, </w:t>
      </w:r>
      <w:r w:rsidRPr="000A2EE0">
        <w:rPr>
          <w:rFonts w:ascii="Times New Roman" w:eastAsia="Times New Roman" w:hAnsi="Times New Roman" w:cs="Times New Roman"/>
          <w:kern w:val="0"/>
          <w:sz w:val="24"/>
          <w:szCs w:val="24"/>
          <w:lang w:eastAsia="hr-HR"/>
          <w14:ligatures w14:val="none"/>
        </w:rPr>
        <w:t>vodi poslove organizacije i održavanja tržnice i sajmišta te</w:t>
      </w:r>
      <w:r w:rsidR="00142C13" w:rsidRPr="000A2EE0">
        <w:rPr>
          <w:rFonts w:ascii="Times New Roman" w:eastAsia="Times New Roman" w:hAnsi="Times New Roman" w:cs="Times New Roman"/>
          <w:kern w:val="0"/>
          <w:sz w:val="24"/>
          <w:szCs w:val="24"/>
          <w:lang w:eastAsia="hr-HR"/>
          <w14:ligatures w14:val="none"/>
        </w:rPr>
        <w:t xml:space="preserve"> </w:t>
      </w:r>
      <w:r w:rsidRPr="000A2EE0">
        <w:rPr>
          <w:rFonts w:ascii="Times New Roman" w:eastAsia="Times New Roman" w:hAnsi="Times New Roman" w:cs="Times New Roman"/>
          <w:kern w:val="0"/>
          <w:sz w:val="24"/>
          <w:szCs w:val="24"/>
          <w:lang w:eastAsia="hr-HR"/>
          <w14:ligatures w14:val="none"/>
        </w:rPr>
        <w:t xml:space="preserve">prodaje cvijeće u </w:t>
      </w:r>
      <w:r w:rsidR="0036343C">
        <w:rPr>
          <w:rFonts w:ascii="Times New Roman" w:eastAsia="Times New Roman" w:hAnsi="Times New Roman" w:cs="Times New Roman"/>
          <w:kern w:val="0"/>
          <w:sz w:val="24"/>
          <w:szCs w:val="24"/>
          <w:lang w:eastAsia="hr-HR"/>
          <w14:ligatures w14:val="none"/>
        </w:rPr>
        <w:t>dvije</w:t>
      </w:r>
      <w:r w:rsidRPr="000A2EE0">
        <w:rPr>
          <w:rFonts w:ascii="Times New Roman" w:eastAsia="Times New Roman" w:hAnsi="Times New Roman" w:cs="Times New Roman"/>
          <w:kern w:val="0"/>
          <w:sz w:val="24"/>
          <w:szCs w:val="24"/>
          <w:lang w:eastAsia="hr-HR"/>
          <w14:ligatures w14:val="none"/>
        </w:rPr>
        <w:t xml:space="preserve"> cvjećarnice na </w:t>
      </w:r>
      <w:r w:rsidR="0036343C">
        <w:rPr>
          <w:rFonts w:ascii="Times New Roman" w:eastAsia="Times New Roman" w:hAnsi="Times New Roman" w:cs="Times New Roman"/>
          <w:kern w:val="0"/>
          <w:sz w:val="24"/>
          <w:szCs w:val="24"/>
          <w:lang w:eastAsia="hr-HR"/>
          <w14:ligatures w14:val="none"/>
        </w:rPr>
        <w:t xml:space="preserve">Gradskom groblju u Mihovljanu. </w:t>
      </w:r>
      <w:r w:rsidR="00142C13" w:rsidRPr="000A2EE0">
        <w:rPr>
          <w:rFonts w:ascii="Times New Roman" w:eastAsia="Times New Roman" w:hAnsi="Times New Roman" w:cs="Times New Roman"/>
          <w:kern w:val="0"/>
          <w:sz w:val="24"/>
          <w:szCs w:val="24"/>
          <w:lang w:eastAsia="hr-HR"/>
          <w14:ligatures w14:val="none"/>
        </w:rPr>
        <w:t xml:space="preserve"> Uz prethodno navedene djelatnosti, </w:t>
      </w:r>
      <w:r w:rsidRPr="000A2EE0">
        <w:rPr>
          <w:rFonts w:ascii="Times New Roman" w:eastAsia="Times New Roman" w:hAnsi="Times New Roman" w:cs="Times New Roman"/>
          <w:kern w:val="0"/>
          <w:sz w:val="24"/>
          <w:szCs w:val="24"/>
          <w:lang w:eastAsia="hr-HR"/>
          <w14:ligatures w14:val="none"/>
        </w:rPr>
        <w:t>GKP ČAKOM d.o.o. vodi brigu o naplati i kontroli javnih parkirališta pod naplatom u Gradu Čakovcu</w:t>
      </w:r>
      <w:r w:rsidR="00142C13" w:rsidRPr="000A2EE0">
        <w:rPr>
          <w:rFonts w:ascii="Times New Roman" w:eastAsia="Times New Roman" w:hAnsi="Times New Roman" w:cs="Times New Roman"/>
          <w:kern w:val="0"/>
          <w:sz w:val="24"/>
          <w:szCs w:val="24"/>
          <w:lang w:eastAsia="hr-HR"/>
          <w14:ligatures w14:val="none"/>
        </w:rPr>
        <w:t xml:space="preserve"> te o</w:t>
      </w:r>
      <w:r w:rsidRPr="000A2EE0">
        <w:rPr>
          <w:rFonts w:ascii="Times New Roman" w:eastAsia="Times New Roman" w:hAnsi="Times New Roman" w:cs="Times New Roman"/>
          <w:kern w:val="0"/>
          <w:sz w:val="24"/>
          <w:szCs w:val="24"/>
          <w:lang w:eastAsia="hr-HR"/>
          <w14:ligatures w14:val="none"/>
        </w:rPr>
        <w:t>država i organizira funkcioniranje u objektima u vlasništvu Grada Čakovca</w:t>
      </w:r>
      <w:r w:rsidR="00142C13" w:rsidRPr="000A2EE0">
        <w:rPr>
          <w:rFonts w:ascii="Times New Roman" w:eastAsia="Times New Roman" w:hAnsi="Times New Roman" w:cs="Times New Roman"/>
          <w:kern w:val="0"/>
          <w:sz w:val="24"/>
          <w:szCs w:val="24"/>
          <w:lang w:eastAsia="hr-HR"/>
          <w14:ligatures w14:val="none"/>
        </w:rPr>
        <w:t xml:space="preserve"> -</w:t>
      </w:r>
      <w:r w:rsidRPr="000A2EE0">
        <w:rPr>
          <w:rFonts w:ascii="Times New Roman" w:eastAsia="Times New Roman" w:hAnsi="Times New Roman" w:cs="Times New Roman"/>
          <w:kern w:val="0"/>
          <w:sz w:val="24"/>
          <w:szCs w:val="24"/>
          <w:lang w:eastAsia="hr-HR"/>
          <w14:ligatures w14:val="none"/>
        </w:rPr>
        <w:t xml:space="preserve"> barakama bivše Visokogradnje i Romskom centru u Gornjem Kuršancu.</w:t>
      </w:r>
      <w:r w:rsidR="00F84CAA">
        <w:rPr>
          <w:rFonts w:ascii="Times New Roman" w:hAnsi="Times New Roman" w:cs="Times New Roman"/>
          <w:sz w:val="24"/>
          <w:szCs w:val="24"/>
        </w:rPr>
        <w:t xml:space="preserve">                                               </w:t>
      </w:r>
    </w:p>
    <w:p w14:paraId="07222EB7" w14:textId="2F9B1AEC" w:rsidR="00267C97" w:rsidRDefault="00267C97" w:rsidP="003B53F4">
      <w:pPr>
        <w:spacing w:line="276" w:lineRule="auto"/>
        <w:jc w:val="both"/>
        <w:rPr>
          <w:rFonts w:ascii="Times New Roman" w:hAnsi="Times New Roman" w:cs="Times New Roman"/>
          <w:sz w:val="24"/>
          <w:szCs w:val="24"/>
        </w:rPr>
      </w:pPr>
    </w:p>
    <w:p w14:paraId="6A67ABF6" w14:textId="77777777" w:rsidR="008B2934" w:rsidRDefault="008B2934" w:rsidP="003B53F4">
      <w:pPr>
        <w:spacing w:line="276" w:lineRule="auto"/>
        <w:jc w:val="both"/>
        <w:rPr>
          <w:rFonts w:ascii="Times New Roman" w:hAnsi="Times New Roman" w:cs="Times New Roman"/>
          <w:sz w:val="24"/>
          <w:szCs w:val="24"/>
        </w:rPr>
      </w:pPr>
    </w:p>
    <w:p w14:paraId="042C9D32" w14:textId="77777777" w:rsidR="009B3684" w:rsidRDefault="009B3684" w:rsidP="003B53F4">
      <w:pPr>
        <w:spacing w:line="276" w:lineRule="auto"/>
        <w:jc w:val="both"/>
        <w:rPr>
          <w:rFonts w:ascii="Times New Roman" w:hAnsi="Times New Roman" w:cs="Times New Roman"/>
          <w:sz w:val="24"/>
          <w:szCs w:val="24"/>
        </w:rPr>
      </w:pPr>
    </w:p>
    <w:p w14:paraId="4BD6AA0F" w14:textId="77777777" w:rsidR="009B3684" w:rsidRDefault="009B3684" w:rsidP="003B53F4">
      <w:pPr>
        <w:spacing w:line="276" w:lineRule="auto"/>
        <w:jc w:val="both"/>
        <w:rPr>
          <w:rFonts w:ascii="Times New Roman" w:hAnsi="Times New Roman" w:cs="Times New Roman"/>
          <w:sz w:val="24"/>
          <w:szCs w:val="24"/>
        </w:rPr>
      </w:pPr>
    </w:p>
    <w:p w14:paraId="36A4574A" w14:textId="77777777" w:rsidR="009B3684" w:rsidRDefault="009B3684" w:rsidP="003B53F4">
      <w:pPr>
        <w:spacing w:line="276" w:lineRule="auto"/>
        <w:jc w:val="both"/>
        <w:rPr>
          <w:rFonts w:ascii="Times New Roman" w:hAnsi="Times New Roman" w:cs="Times New Roman"/>
          <w:sz w:val="24"/>
          <w:szCs w:val="24"/>
        </w:rPr>
      </w:pPr>
    </w:p>
    <w:p w14:paraId="57E78842" w14:textId="1265BC6F" w:rsidR="00815C25" w:rsidRPr="00FB3BAC" w:rsidRDefault="009E48D9" w:rsidP="006020DB">
      <w:pPr>
        <w:pStyle w:val="Naslov1"/>
        <w:numPr>
          <w:ilvl w:val="0"/>
          <w:numId w:val="32"/>
        </w:numPr>
        <w:spacing w:line="276" w:lineRule="auto"/>
        <w:rPr>
          <w:rFonts w:cs="Times New Roman"/>
        </w:rPr>
      </w:pPr>
      <w:bookmarkStart w:id="2" w:name="_Toc149821391"/>
      <w:r w:rsidRPr="00FB3BAC">
        <w:rPr>
          <w:rFonts w:cs="Times New Roman"/>
        </w:rPr>
        <w:lastRenderedPageBreak/>
        <w:t>MISIJA, VIZIJA, KLJUČNE VRIJEDNOSTI</w:t>
      </w:r>
      <w:bookmarkEnd w:id="2"/>
    </w:p>
    <w:p w14:paraId="6D86F5A8" w14:textId="4125AB2E" w:rsidR="00B93C91" w:rsidRDefault="00B93C91" w:rsidP="008B2934">
      <w:pPr>
        <w:pStyle w:val="Naslov2"/>
        <w:numPr>
          <w:ilvl w:val="0"/>
          <w:numId w:val="0"/>
        </w:numPr>
        <w:ind w:left="945" w:hanging="585"/>
      </w:pPr>
    </w:p>
    <w:p w14:paraId="67ED1791" w14:textId="77777777" w:rsidR="008B2934" w:rsidRPr="008B2934" w:rsidRDefault="008B2934" w:rsidP="008B2934">
      <w:pPr>
        <w:rPr>
          <w:lang w:eastAsia="hr-HR"/>
        </w:rPr>
      </w:pPr>
    </w:p>
    <w:p w14:paraId="74D3DECB" w14:textId="381F5DC2" w:rsidR="000A2EE0" w:rsidRPr="000A2EE0" w:rsidRDefault="000A2EE0" w:rsidP="003B53F4">
      <w:pPr>
        <w:spacing w:line="276" w:lineRule="auto"/>
        <w:jc w:val="both"/>
        <w:rPr>
          <w:rFonts w:ascii="Times New Roman" w:hAnsi="Times New Roman" w:cs="Times New Roman"/>
          <w:sz w:val="24"/>
          <w:szCs w:val="24"/>
        </w:rPr>
      </w:pPr>
      <w:r w:rsidRPr="000A2EE0">
        <w:rPr>
          <w:rFonts w:ascii="Times New Roman" w:hAnsi="Times New Roman" w:cs="Times New Roman"/>
          <w:sz w:val="24"/>
          <w:szCs w:val="24"/>
        </w:rPr>
        <w:t xml:space="preserve">Misija, vizija i ključne vrijednosti </w:t>
      </w:r>
      <w:r w:rsidR="002320D4">
        <w:rPr>
          <w:rFonts w:ascii="Times New Roman" w:hAnsi="Times New Roman" w:cs="Times New Roman"/>
          <w:sz w:val="24"/>
          <w:szCs w:val="24"/>
        </w:rPr>
        <w:t xml:space="preserve">GKP ČAKOM d.o.o. </w:t>
      </w:r>
      <w:r w:rsidRPr="000A2EE0">
        <w:rPr>
          <w:rFonts w:ascii="Times New Roman" w:hAnsi="Times New Roman" w:cs="Times New Roman"/>
          <w:sz w:val="24"/>
          <w:szCs w:val="24"/>
        </w:rPr>
        <w:t>definirane su kroz Politiku kvalitete, okoliša</w:t>
      </w:r>
      <w:r w:rsidR="002320D4">
        <w:rPr>
          <w:rFonts w:ascii="Times New Roman" w:hAnsi="Times New Roman" w:cs="Times New Roman"/>
          <w:sz w:val="24"/>
          <w:szCs w:val="24"/>
        </w:rPr>
        <w:t>,</w:t>
      </w:r>
      <w:r w:rsidRPr="000A2EE0">
        <w:rPr>
          <w:rFonts w:ascii="Times New Roman" w:hAnsi="Times New Roman" w:cs="Times New Roman"/>
          <w:sz w:val="24"/>
          <w:szCs w:val="24"/>
        </w:rPr>
        <w:t xml:space="preserve"> zdravlja i sigurnosti</w:t>
      </w:r>
      <w:r w:rsidR="00225C48">
        <w:rPr>
          <w:rFonts w:ascii="Times New Roman" w:hAnsi="Times New Roman" w:cs="Times New Roman"/>
          <w:sz w:val="24"/>
          <w:szCs w:val="24"/>
        </w:rPr>
        <w:t xml:space="preserve"> i osnovno su polazište za uspostavljanje strateških ciljeva.</w:t>
      </w:r>
    </w:p>
    <w:p w14:paraId="6523FF0B" w14:textId="4077DD86" w:rsidR="00B93C91" w:rsidRPr="000A2EE0" w:rsidRDefault="00B93C91" w:rsidP="003B53F4">
      <w:pPr>
        <w:spacing w:line="276" w:lineRule="auto"/>
        <w:jc w:val="both"/>
        <w:rPr>
          <w:rFonts w:ascii="Times New Roman" w:hAnsi="Times New Roman" w:cs="Times New Roman"/>
          <w:sz w:val="24"/>
          <w:szCs w:val="24"/>
        </w:rPr>
      </w:pPr>
      <w:r w:rsidRPr="000A2EE0">
        <w:rPr>
          <w:rFonts w:ascii="Times New Roman" w:hAnsi="Times New Roman" w:cs="Times New Roman"/>
          <w:sz w:val="24"/>
          <w:szCs w:val="24"/>
        </w:rPr>
        <w:t>Poslovni uspjeh GKP ČAKOM d.o.o. počiva na zalaganju svih zaposlenih u postizanju zadovoljstva korisnika i ostalih zainteresiranih strana prikupljanjem i obradom otpada, održavanjem javnih površina grada Čakovca te pružanju ostalih komunalnih usluga iz registriranih djelatnosti na kvalitetan i ekološki prihvatljiv način uz posebnu brigu za kvalitetu, okoliš</w:t>
      </w:r>
      <w:r w:rsidR="002320D4">
        <w:rPr>
          <w:rFonts w:ascii="Times New Roman" w:hAnsi="Times New Roman" w:cs="Times New Roman"/>
          <w:sz w:val="24"/>
          <w:szCs w:val="24"/>
        </w:rPr>
        <w:t>,</w:t>
      </w:r>
      <w:r w:rsidRPr="000A2EE0">
        <w:rPr>
          <w:rFonts w:ascii="Times New Roman" w:hAnsi="Times New Roman" w:cs="Times New Roman"/>
          <w:sz w:val="24"/>
          <w:szCs w:val="24"/>
        </w:rPr>
        <w:t xml:space="preserve"> zdravlje i sigurnost.</w:t>
      </w:r>
    </w:p>
    <w:p w14:paraId="30FC4202" w14:textId="02366174" w:rsidR="00B93C91" w:rsidRPr="000A2EE0" w:rsidRDefault="00D74E25" w:rsidP="00EF4B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B93C91" w:rsidRPr="000A2EE0">
        <w:rPr>
          <w:rFonts w:ascii="Times New Roman" w:hAnsi="Times New Roman" w:cs="Times New Roman"/>
          <w:sz w:val="24"/>
          <w:szCs w:val="24"/>
        </w:rPr>
        <w:t>redanost kvaliteti, zaštiti okoliša, zdravlju i sigurnosti podrazumijeva:</w:t>
      </w:r>
    </w:p>
    <w:p w14:paraId="587D079D" w14:textId="77777777" w:rsidR="00B93C91" w:rsidRPr="000A2EE0" w:rsidRDefault="00B93C91" w:rsidP="003B53F4">
      <w:pPr>
        <w:spacing w:after="0" w:line="276" w:lineRule="auto"/>
        <w:jc w:val="both"/>
        <w:rPr>
          <w:rFonts w:ascii="Times New Roman" w:hAnsi="Times New Roman" w:cs="Times New Roman"/>
          <w:sz w:val="24"/>
          <w:szCs w:val="24"/>
        </w:rPr>
      </w:pPr>
      <w:r w:rsidRPr="000A2EE0">
        <w:rPr>
          <w:rFonts w:ascii="Times New Roman" w:hAnsi="Times New Roman" w:cs="Times New Roman"/>
          <w:sz w:val="24"/>
          <w:szCs w:val="24"/>
        </w:rPr>
        <w:t>• stalno unapređivanje integriranog sustava upravljanja u skladu s međunarodno priznatim normama ISO 9001, ISO 14001 i ISO 45001,</w:t>
      </w:r>
    </w:p>
    <w:p w14:paraId="4F99F76A" w14:textId="1AA55E76" w:rsidR="00B93C91" w:rsidRPr="000A2EE0" w:rsidRDefault="00B93C91" w:rsidP="003B53F4">
      <w:pPr>
        <w:spacing w:after="0" w:line="276" w:lineRule="auto"/>
        <w:jc w:val="both"/>
        <w:rPr>
          <w:rFonts w:ascii="Times New Roman" w:hAnsi="Times New Roman" w:cs="Times New Roman"/>
          <w:sz w:val="24"/>
          <w:szCs w:val="24"/>
        </w:rPr>
      </w:pPr>
      <w:r w:rsidRPr="000A2EE0">
        <w:rPr>
          <w:rFonts w:ascii="Times New Roman" w:hAnsi="Times New Roman" w:cs="Times New Roman"/>
          <w:sz w:val="24"/>
          <w:szCs w:val="24"/>
        </w:rPr>
        <w:t>• stalno poboljšavanje i unaprjeđenje učinka na kvalitetu, okoliš, zdravlje i sigurnost,</w:t>
      </w:r>
    </w:p>
    <w:p w14:paraId="60B56E21" w14:textId="77777777" w:rsidR="00B93C91" w:rsidRPr="000A2EE0" w:rsidRDefault="00B93C91" w:rsidP="003B53F4">
      <w:pPr>
        <w:spacing w:after="0" w:line="276" w:lineRule="auto"/>
        <w:jc w:val="both"/>
        <w:rPr>
          <w:rFonts w:ascii="Times New Roman" w:hAnsi="Times New Roman" w:cs="Times New Roman"/>
          <w:sz w:val="24"/>
          <w:szCs w:val="24"/>
        </w:rPr>
      </w:pPr>
      <w:r w:rsidRPr="000A2EE0">
        <w:rPr>
          <w:rFonts w:ascii="Times New Roman" w:hAnsi="Times New Roman" w:cs="Times New Roman"/>
          <w:sz w:val="24"/>
          <w:szCs w:val="24"/>
        </w:rPr>
        <w:t>• opredijeljenost u pružanju sigurnih i zdravih uvjeta rada, u cilju sprječavanja ozljeda povezanih sa radom i narušavanja zdravlja,</w:t>
      </w:r>
    </w:p>
    <w:p w14:paraId="2B4ED2EA" w14:textId="77777777" w:rsidR="00B93C91" w:rsidRPr="000A2EE0" w:rsidRDefault="00B93C91" w:rsidP="003B53F4">
      <w:pPr>
        <w:spacing w:after="0" w:line="276" w:lineRule="auto"/>
        <w:jc w:val="both"/>
        <w:rPr>
          <w:rFonts w:ascii="Times New Roman" w:hAnsi="Times New Roman" w:cs="Times New Roman"/>
          <w:sz w:val="24"/>
          <w:szCs w:val="24"/>
        </w:rPr>
      </w:pPr>
      <w:r w:rsidRPr="000A2EE0">
        <w:rPr>
          <w:rFonts w:ascii="Times New Roman" w:hAnsi="Times New Roman" w:cs="Times New Roman"/>
          <w:sz w:val="24"/>
          <w:szCs w:val="24"/>
        </w:rPr>
        <w:t>• stalnu težnju usmjerenu na uspostavu kružnog gospodarstva i resursnu ekonomiju,</w:t>
      </w:r>
    </w:p>
    <w:p w14:paraId="09FE1634" w14:textId="77777777" w:rsidR="00B93C91" w:rsidRPr="000A2EE0" w:rsidRDefault="00B93C91" w:rsidP="003B53F4">
      <w:pPr>
        <w:spacing w:after="0" w:line="276" w:lineRule="auto"/>
        <w:jc w:val="both"/>
        <w:rPr>
          <w:rFonts w:ascii="Times New Roman" w:hAnsi="Times New Roman" w:cs="Times New Roman"/>
          <w:sz w:val="24"/>
          <w:szCs w:val="24"/>
        </w:rPr>
      </w:pPr>
      <w:r w:rsidRPr="000A2EE0">
        <w:rPr>
          <w:rFonts w:ascii="Times New Roman" w:hAnsi="Times New Roman" w:cs="Times New Roman"/>
          <w:sz w:val="24"/>
          <w:szCs w:val="24"/>
        </w:rPr>
        <w:t>• sprečavanje zagađenja kada je to moguće i odgovorno gospodarenje prirodnim resursima,</w:t>
      </w:r>
    </w:p>
    <w:p w14:paraId="73A68F65" w14:textId="77777777" w:rsidR="00B93C91" w:rsidRPr="000A2EE0" w:rsidRDefault="00B93C91" w:rsidP="003B53F4">
      <w:pPr>
        <w:spacing w:after="0" w:line="276" w:lineRule="auto"/>
        <w:jc w:val="both"/>
        <w:rPr>
          <w:rFonts w:ascii="Times New Roman" w:hAnsi="Times New Roman" w:cs="Times New Roman"/>
          <w:sz w:val="24"/>
          <w:szCs w:val="24"/>
        </w:rPr>
      </w:pPr>
      <w:r w:rsidRPr="000A2EE0">
        <w:rPr>
          <w:rFonts w:ascii="Times New Roman" w:hAnsi="Times New Roman" w:cs="Times New Roman"/>
          <w:sz w:val="24"/>
          <w:szCs w:val="24"/>
        </w:rPr>
        <w:t>• eliminaciju i/ili smanjivanje razina rizika kvalitete, okoliša te zdravlja i sigurnosti na prihvatljive razine,</w:t>
      </w:r>
    </w:p>
    <w:p w14:paraId="57D812F8" w14:textId="77777777" w:rsidR="00B93C91" w:rsidRPr="000A2EE0" w:rsidRDefault="00B93C91" w:rsidP="003B53F4">
      <w:pPr>
        <w:spacing w:after="0" w:line="276" w:lineRule="auto"/>
        <w:jc w:val="both"/>
        <w:rPr>
          <w:rFonts w:ascii="Times New Roman" w:hAnsi="Times New Roman" w:cs="Times New Roman"/>
          <w:sz w:val="24"/>
          <w:szCs w:val="24"/>
        </w:rPr>
      </w:pPr>
      <w:r w:rsidRPr="000A2EE0">
        <w:rPr>
          <w:rFonts w:ascii="Times New Roman" w:hAnsi="Times New Roman" w:cs="Times New Roman"/>
          <w:sz w:val="24"/>
          <w:szCs w:val="24"/>
        </w:rPr>
        <w:t>• djelovanje u skladu sa pozitivnim propisima Republike Hrvatske,</w:t>
      </w:r>
    </w:p>
    <w:p w14:paraId="175CA8E9" w14:textId="77777777" w:rsidR="00B93C91" w:rsidRPr="000A2EE0" w:rsidRDefault="00B93C91" w:rsidP="003B53F4">
      <w:pPr>
        <w:spacing w:after="0" w:line="276" w:lineRule="auto"/>
        <w:jc w:val="both"/>
        <w:rPr>
          <w:rFonts w:ascii="Times New Roman" w:hAnsi="Times New Roman" w:cs="Times New Roman"/>
          <w:sz w:val="24"/>
          <w:szCs w:val="24"/>
        </w:rPr>
      </w:pPr>
      <w:r w:rsidRPr="000A2EE0">
        <w:rPr>
          <w:rFonts w:ascii="Times New Roman" w:hAnsi="Times New Roman" w:cs="Times New Roman"/>
          <w:sz w:val="24"/>
          <w:szCs w:val="24"/>
        </w:rPr>
        <w:t>• opredijeljenost za savjetovanje s radnicima i uključivanje radnika i predstavnika radnika vezano za zdravlje i sigurnost na radu,</w:t>
      </w:r>
    </w:p>
    <w:p w14:paraId="02EA3D36" w14:textId="1E6EE81C" w:rsidR="00B93C91" w:rsidRDefault="00B93C91" w:rsidP="003B53F4">
      <w:pPr>
        <w:spacing w:after="0" w:line="276" w:lineRule="auto"/>
        <w:jc w:val="both"/>
        <w:rPr>
          <w:rFonts w:ascii="Times New Roman" w:hAnsi="Times New Roman" w:cs="Times New Roman"/>
          <w:sz w:val="24"/>
          <w:szCs w:val="24"/>
        </w:rPr>
      </w:pPr>
      <w:r w:rsidRPr="000A2EE0">
        <w:rPr>
          <w:rFonts w:ascii="Times New Roman" w:hAnsi="Times New Roman" w:cs="Times New Roman"/>
          <w:sz w:val="24"/>
          <w:szCs w:val="24"/>
        </w:rPr>
        <w:t>• stalno promicanje timskog duha i osiguranje poticajnog radnog okruženja za sve radnike GKP ČAKOM d.o.o.</w:t>
      </w:r>
    </w:p>
    <w:p w14:paraId="50698D90" w14:textId="77777777" w:rsidR="0014580E" w:rsidRPr="000A2EE0" w:rsidRDefault="0014580E" w:rsidP="003B53F4">
      <w:pPr>
        <w:spacing w:after="0" w:line="276" w:lineRule="auto"/>
        <w:jc w:val="both"/>
        <w:rPr>
          <w:rFonts w:ascii="Times New Roman" w:hAnsi="Times New Roman" w:cs="Times New Roman"/>
          <w:sz w:val="24"/>
          <w:szCs w:val="24"/>
        </w:rPr>
      </w:pPr>
    </w:p>
    <w:p w14:paraId="1B2634E3" w14:textId="6DB12D70" w:rsidR="00854587" w:rsidRDefault="00D74E25" w:rsidP="003B53F4">
      <w:pPr>
        <w:spacing w:line="276" w:lineRule="auto"/>
        <w:jc w:val="both"/>
        <w:rPr>
          <w:rFonts w:ascii="Times New Roman" w:hAnsi="Times New Roman" w:cs="Times New Roman"/>
          <w:sz w:val="24"/>
          <w:szCs w:val="24"/>
        </w:rPr>
      </w:pPr>
      <w:r>
        <w:rPr>
          <w:rFonts w:ascii="Times New Roman" w:hAnsi="Times New Roman" w:cs="Times New Roman"/>
          <w:sz w:val="24"/>
          <w:szCs w:val="24"/>
        </w:rPr>
        <w:t>GKP ČAKOM d.o.o. položa</w:t>
      </w:r>
      <w:r w:rsidR="00B93C91" w:rsidRPr="000A2EE0">
        <w:rPr>
          <w:rFonts w:ascii="Times New Roman" w:hAnsi="Times New Roman" w:cs="Times New Roman"/>
          <w:sz w:val="24"/>
          <w:szCs w:val="24"/>
        </w:rPr>
        <w:t>j u sredinama u kojima posluje gradi bliskim odnosom s  korisnicima i dobavljačima te ostalim zainteresiranim stranama pokušavajući utjecati na njih ne bi li potaknuli i njihovu brigu o kvaliteti, okolišu, zdravlju i sigurnosti.</w:t>
      </w:r>
    </w:p>
    <w:p w14:paraId="0C686B61" w14:textId="76CFF835" w:rsidR="000E3E53" w:rsidRDefault="000E3E53" w:rsidP="00EF4B60">
      <w:pPr>
        <w:spacing w:after="0" w:line="276" w:lineRule="auto"/>
        <w:jc w:val="both"/>
        <w:rPr>
          <w:rFonts w:ascii="Times New Roman" w:hAnsi="Times New Roman" w:cs="Times New Roman"/>
          <w:color w:val="000000"/>
          <w:sz w:val="24"/>
          <w:szCs w:val="24"/>
        </w:rPr>
      </w:pPr>
      <w:r w:rsidRPr="00477DFA">
        <w:rPr>
          <w:rFonts w:ascii="Times New Roman" w:hAnsi="Times New Roman" w:cs="Times New Roman"/>
          <w:sz w:val="24"/>
          <w:szCs w:val="24"/>
        </w:rPr>
        <w:t>Politiku kvalitete u poslovanju GKP ČAKOM d.o.o. dokazuje certifikatima ISO 9001, ISO 14001 i ISO 45001</w:t>
      </w:r>
      <w:r w:rsidR="009100D3">
        <w:rPr>
          <w:rFonts w:ascii="Times New Roman" w:hAnsi="Times New Roman" w:cs="Times New Roman"/>
          <w:sz w:val="24"/>
          <w:szCs w:val="24"/>
        </w:rPr>
        <w:t xml:space="preserve">. Navedenom doprinosi uspostavljen i kontinuirano održavan </w:t>
      </w:r>
      <w:r w:rsidR="0014580E" w:rsidRPr="00477DFA">
        <w:rPr>
          <w:rFonts w:ascii="Times New Roman" w:hAnsi="Times New Roman" w:cs="Times New Roman"/>
          <w:sz w:val="24"/>
          <w:szCs w:val="24"/>
        </w:rPr>
        <w:t>integrirani sustav upravljanja</w:t>
      </w:r>
      <w:r w:rsidR="009100D3">
        <w:rPr>
          <w:rFonts w:ascii="Times New Roman" w:hAnsi="Times New Roman" w:cs="Times New Roman"/>
          <w:sz w:val="24"/>
          <w:szCs w:val="24"/>
        </w:rPr>
        <w:t xml:space="preserve"> koji se sast</w:t>
      </w:r>
      <w:r w:rsidR="00477DFA" w:rsidRPr="00477DFA">
        <w:rPr>
          <w:rFonts w:ascii="Times New Roman" w:hAnsi="Times New Roman" w:cs="Times New Roman"/>
          <w:color w:val="000000"/>
          <w:sz w:val="24"/>
          <w:szCs w:val="24"/>
        </w:rPr>
        <w:t>oji od 16 procesa i to: strateško upravljanje, ugovaranje s JLS, skupljanje, odvoz, zbrinjavanje i oporaba otpada, proizvodnja bilja, upravljanje tržnicom i sajmovima, upravljanje parkiralištima, održavanje groblja i obavljanje pogrebnih poslova, održavanje javnih površina, proda</w:t>
      </w:r>
      <w:r w:rsidR="00F85347">
        <w:rPr>
          <w:rFonts w:ascii="Times New Roman" w:hAnsi="Times New Roman" w:cs="Times New Roman"/>
          <w:color w:val="000000"/>
          <w:sz w:val="24"/>
          <w:szCs w:val="24"/>
        </w:rPr>
        <w:t>ja</w:t>
      </w:r>
      <w:r w:rsidR="00477DFA" w:rsidRPr="00477DFA">
        <w:rPr>
          <w:rFonts w:ascii="Times New Roman" w:hAnsi="Times New Roman" w:cs="Times New Roman"/>
          <w:color w:val="000000"/>
          <w:sz w:val="24"/>
          <w:szCs w:val="24"/>
        </w:rPr>
        <w:t xml:space="preserve"> na malo, provođenje poslijeprodajnih aktivnosti, upravljanje nabavom, upravljanje ljudskim resursima, upravljanje materijalnim resursima, upravljanje financijskim resursima, upravljanje kvalitetom, okolišem, zdravljem i sigurnošću te upravljanje informacijama</w:t>
      </w:r>
      <w:r w:rsidR="00477DFA" w:rsidRPr="000C7E7E">
        <w:rPr>
          <w:rFonts w:ascii="Times New Roman" w:hAnsi="Times New Roman" w:cs="Times New Roman"/>
          <w:color w:val="000000"/>
          <w:sz w:val="24"/>
          <w:szCs w:val="24"/>
        </w:rPr>
        <w:t>.</w:t>
      </w:r>
    </w:p>
    <w:p w14:paraId="31BD917D" w14:textId="77777777" w:rsidR="00FB3BAC" w:rsidRDefault="00FB3BAC" w:rsidP="003B53F4">
      <w:pPr>
        <w:spacing w:line="276" w:lineRule="auto"/>
        <w:jc w:val="both"/>
        <w:rPr>
          <w:rFonts w:ascii="Times New Roman" w:hAnsi="Times New Roman" w:cs="Times New Roman"/>
          <w:color w:val="000000"/>
          <w:sz w:val="24"/>
          <w:szCs w:val="24"/>
        </w:rPr>
      </w:pPr>
    </w:p>
    <w:p w14:paraId="19FB5900" w14:textId="77777777" w:rsidR="00BF0316" w:rsidRDefault="00BF0316" w:rsidP="003B53F4">
      <w:pPr>
        <w:spacing w:line="276" w:lineRule="auto"/>
        <w:jc w:val="both"/>
        <w:rPr>
          <w:rFonts w:ascii="Times New Roman" w:hAnsi="Times New Roman" w:cs="Times New Roman"/>
          <w:color w:val="000000"/>
          <w:sz w:val="24"/>
          <w:szCs w:val="24"/>
        </w:rPr>
      </w:pPr>
    </w:p>
    <w:p w14:paraId="5F24FC4C" w14:textId="5CA2FDA8" w:rsidR="00D86C20" w:rsidRPr="00A215D6" w:rsidRDefault="00D86C20" w:rsidP="00A215D6">
      <w:pPr>
        <w:pStyle w:val="Naslov1"/>
        <w:numPr>
          <w:ilvl w:val="0"/>
          <w:numId w:val="32"/>
        </w:numPr>
      </w:pPr>
      <w:bookmarkStart w:id="3" w:name="_Toc149821393"/>
      <w:r w:rsidRPr="00A215D6">
        <w:lastRenderedPageBreak/>
        <w:t xml:space="preserve">PLAN PRIHODA I RASHODA GKP ČAKOM </w:t>
      </w:r>
      <w:r w:rsidR="00F43BAB" w:rsidRPr="00A215D6">
        <w:t>d.o.o.</w:t>
      </w:r>
      <w:r w:rsidRPr="00A215D6">
        <w:t xml:space="preserve"> ZA 2023.g.</w:t>
      </w:r>
      <w:bookmarkEnd w:id="3"/>
    </w:p>
    <w:p w14:paraId="28EFD3CA" w14:textId="77777777" w:rsidR="00D86C20" w:rsidRDefault="00D86C20" w:rsidP="00D86C20">
      <w:pPr>
        <w:spacing w:line="276" w:lineRule="auto"/>
      </w:pPr>
    </w:p>
    <w:p w14:paraId="3BFBCF63" w14:textId="21953FA5" w:rsidR="001732F7" w:rsidRPr="006C49FE" w:rsidRDefault="00D86C20" w:rsidP="00EF4B60">
      <w:pPr>
        <w:spacing w:before="240" w:line="276" w:lineRule="auto"/>
        <w:jc w:val="both"/>
        <w:rPr>
          <w:rFonts w:ascii="Times New Roman" w:hAnsi="Times New Roman" w:cs="Times New Roman"/>
          <w:i/>
          <w:iCs/>
          <w:sz w:val="24"/>
          <w:szCs w:val="24"/>
        </w:rPr>
      </w:pPr>
      <w:r w:rsidRPr="0014580E">
        <w:rPr>
          <w:rFonts w:ascii="Times New Roman" w:hAnsi="Times New Roman" w:cs="Times New Roman"/>
          <w:sz w:val="24"/>
          <w:szCs w:val="24"/>
        </w:rPr>
        <w:t xml:space="preserve">Analiza </w:t>
      </w:r>
      <w:r w:rsidR="00A67C53">
        <w:rPr>
          <w:rFonts w:ascii="Times New Roman" w:hAnsi="Times New Roman" w:cs="Times New Roman"/>
          <w:sz w:val="24"/>
          <w:szCs w:val="24"/>
        </w:rPr>
        <w:t xml:space="preserve">ostvarenih </w:t>
      </w:r>
      <w:r w:rsidRPr="0014580E">
        <w:rPr>
          <w:rFonts w:ascii="Times New Roman" w:hAnsi="Times New Roman" w:cs="Times New Roman"/>
          <w:sz w:val="24"/>
          <w:szCs w:val="24"/>
        </w:rPr>
        <w:t xml:space="preserve">prihoda i rashoda te financijsko planiranje predstavljaju </w:t>
      </w:r>
      <w:r w:rsidR="009100D3">
        <w:rPr>
          <w:rFonts w:ascii="Times New Roman" w:hAnsi="Times New Roman" w:cs="Times New Roman"/>
          <w:sz w:val="24"/>
          <w:szCs w:val="24"/>
        </w:rPr>
        <w:t xml:space="preserve">neizostavan element </w:t>
      </w:r>
      <w:r w:rsidRPr="0014580E">
        <w:rPr>
          <w:rFonts w:ascii="Times New Roman" w:hAnsi="Times New Roman" w:cs="Times New Roman"/>
          <w:sz w:val="24"/>
          <w:szCs w:val="24"/>
        </w:rPr>
        <w:t>kvalitetno</w:t>
      </w:r>
      <w:r w:rsidR="009100D3">
        <w:rPr>
          <w:rFonts w:ascii="Times New Roman" w:hAnsi="Times New Roman" w:cs="Times New Roman"/>
          <w:sz w:val="24"/>
          <w:szCs w:val="24"/>
        </w:rPr>
        <w:t>g</w:t>
      </w:r>
      <w:r w:rsidRPr="0014580E">
        <w:rPr>
          <w:rFonts w:ascii="Times New Roman" w:hAnsi="Times New Roman" w:cs="Times New Roman"/>
          <w:sz w:val="24"/>
          <w:szCs w:val="24"/>
        </w:rPr>
        <w:t xml:space="preserve"> strateško</w:t>
      </w:r>
      <w:r w:rsidR="009100D3">
        <w:rPr>
          <w:rFonts w:ascii="Times New Roman" w:hAnsi="Times New Roman" w:cs="Times New Roman"/>
          <w:sz w:val="24"/>
          <w:szCs w:val="24"/>
        </w:rPr>
        <w:t>g</w:t>
      </w:r>
      <w:r w:rsidRPr="0014580E">
        <w:rPr>
          <w:rFonts w:ascii="Times New Roman" w:hAnsi="Times New Roman" w:cs="Times New Roman"/>
          <w:sz w:val="24"/>
          <w:szCs w:val="24"/>
        </w:rPr>
        <w:t xml:space="preserve"> planiranj</w:t>
      </w:r>
      <w:r w:rsidR="009100D3">
        <w:rPr>
          <w:rFonts w:ascii="Times New Roman" w:hAnsi="Times New Roman" w:cs="Times New Roman"/>
          <w:sz w:val="24"/>
          <w:szCs w:val="24"/>
        </w:rPr>
        <w:t>a</w:t>
      </w:r>
      <w:r w:rsidRPr="0014580E">
        <w:rPr>
          <w:rFonts w:ascii="Times New Roman" w:hAnsi="Times New Roman" w:cs="Times New Roman"/>
          <w:sz w:val="24"/>
          <w:szCs w:val="24"/>
        </w:rPr>
        <w:t>. Financijske analize</w:t>
      </w:r>
      <w:r w:rsidR="00A67C53">
        <w:rPr>
          <w:rFonts w:ascii="Times New Roman" w:hAnsi="Times New Roman" w:cs="Times New Roman"/>
          <w:sz w:val="24"/>
          <w:szCs w:val="24"/>
        </w:rPr>
        <w:t xml:space="preserve"> ostvarenih prihoda i rashoda</w:t>
      </w:r>
      <w:r w:rsidRPr="0014580E">
        <w:rPr>
          <w:rFonts w:ascii="Times New Roman" w:hAnsi="Times New Roman" w:cs="Times New Roman"/>
          <w:sz w:val="24"/>
          <w:szCs w:val="24"/>
        </w:rPr>
        <w:t xml:space="preserve"> daju mjerljive vrijednosti temeljem kojih se može jasno sagledati mogućnost realizacije određenih strateških ciljeva</w:t>
      </w:r>
      <w:r w:rsidR="0014580E">
        <w:rPr>
          <w:rFonts w:ascii="Times New Roman" w:hAnsi="Times New Roman" w:cs="Times New Roman"/>
          <w:sz w:val="24"/>
          <w:szCs w:val="24"/>
        </w:rPr>
        <w:t xml:space="preserve"> u budućnosti</w:t>
      </w:r>
      <w:r w:rsidRPr="0014580E">
        <w:rPr>
          <w:rFonts w:ascii="Times New Roman" w:hAnsi="Times New Roman" w:cs="Times New Roman"/>
          <w:sz w:val="24"/>
          <w:szCs w:val="24"/>
        </w:rPr>
        <w:t xml:space="preserve">. </w:t>
      </w:r>
      <w:r w:rsidR="00A67C53">
        <w:rPr>
          <w:rFonts w:ascii="Times New Roman" w:hAnsi="Times New Roman" w:cs="Times New Roman"/>
          <w:sz w:val="24"/>
          <w:szCs w:val="24"/>
        </w:rPr>
        <w:t>S tog aspekta, u</w:t>
      </w:r>
      <w:r w:rsidR="00F81355">
        <w:rPr>
          <w:rFonts w:ascii="Times New Roman" w:hAnsi="Times New Roman" w:cs="Times New Roman"/>
          <w:sz w:val="24"/>
          <w:szCs w:val="24"/>
        </w:rPr>
        <w:t xml:space="preserve"> nižoj tablici </w:t>
      </w:r>
      <w:r w:rsidR="00A67C53">
        <w:rPr>
          <w:rFonts w:ascii="Times New Roman" w:hAnsi="Times New Roman" w:cs="Times New Roman"/>
          <w:sz w:val="24"/>
          <w:szCs w:val="24"/>
        </w:rPr>
        <w:t>prikazano je o</w:t>
      </w:r>
      <w:r w:rsidR="006C49FE">
        <w:rPr>
          <w:rFonts w:ascii="Times New Roman" w:hAnsi="Times New Roman" w:cs="Times New Roman"/>
          <w:sz w:val="24"/>
          <w:szCs w:val="24"/>
        </w:rPr>
        <w:t>stvarenje prihoda i rashoda</w:t>
      </w:r>
      <w:r w:rsidR="00A67C53">
        <w:rPr>
          <w:rFonts w:ascii="Times New Roman" w:hAnsi="Times New Roman" w:cs="Times New Roman"/>
          <w:sz w:val="24"/>
          <w:szCs w:val="24"/>
        </w:rPr>
        <w:t xml:space="preserve"> </w:t>
      </w:r>
      <w:r w:rsidR="001732F7">
        <w:rPr>
          <w:rFonts w:ascii="Times New Roman" w:hAnsi="Times New Roman" w:cs="Times New Roman"/>
          <w:sz w:val="24"/>
          <w:szCs w:val="24"/>
        </w:rPr>
        <w:t xml:space="preserve">GKP ČAKOM d.o.o. </w:t>
      </w:r>
      <w:r w:rsidR="006C49FE">
        <w:rPr>
          <w:rFonts w:ascii="Times New Roman" w:hAnsi="Times New Roman" w:cs="Times New Roman"/>
          <w:sz w:val="24"/>
          <w:szCs w:val="24"/>
        </w:rPr>
        <w:t>za 2022.g. i plan</w:t>
      </w:r>
      <w:r w:rsidR="00A67C53">
        <w:rPr>
          <w:rFonts w:ascii="Times New Roman" w:hAnsi="Times New Roman" w:cs="Times New Roman"/>
          <w:sz w:val="24"/>
          <w:szCs w:val="24"/>
        </w:rPr>
        <w:t>irane vrijednosti</w:t>
      </w:r>
      <w:r w:rsidR="006C49FE">
        <w:rPr>
          <w:rFonts w:ascii="Times New Roman" w:hAnsi="Times New Roman" w:cs="Times New Roman"/>
          <w:sz w:val="24"/>
          <w:szCs w:val="24"/>
        </w:rPr>
        <w:t xml:space="preserve"> </w:t>
      </w:r>
      <w:r w:rsidR="00F2349C">
        <w:rPr>
          <w:rFonts w:ascii="Times New Roman" w:hAnsi="Times New Roman" w:cs="Times New Roman"/>
          <w:sz w:val="24"/>
          <w:szCs w:val="24"/>
        </w:rPr>
        <w:t xml:space="preserve">prihoda i rashoda </w:t>
      </w:r>
      <w:r w:rsidR="006C49FE">
        <w:rPr>
          <w:rFonts w:ascii="Times New Roman" w:hAnsi="Times New Roman" w:cs="Times New Roman"/>
          <w:sz w:val="24"/>
          <w:szCs w:val="24"/>
        </w:rPr>
        <w:t xml:space="preserve">za 2023.g. </w:t>
      </w:r>
      <w:r w:rsidR="00060FFE">
        <w:rPr>
          <w:rFonts w:ascii="Times New Roman" w:hAnsi="Times New Roman" w:cs="Times New Roman"/>
          <w:sz w:val="24"/>
          <w:szCs w:val="24"/>
        </w:rPr>
        <w:t>Uz navedne</w:t>
      </w:r>
      <w:r w:rsidR="00B31BB1">
        <w:rPr>
          <w:rFonts w:ascii="Times New Roman" w:hAnsi="Times New Roman" w:cs="Times New Roman"/>
          <w:sz w:val="24"/>
          <w:szCs w:val="24"/>
        </w:rPr>
        <w:t xml:space="preserve"> podatke, prikazana je i financijska analiza indeksa promjena planskih vrijednosti za 2023.g. u odnosu na ostvarene vrijednosti 2022.g. te postotak udjela pojedinih kategorija prihoda i rashoda u ukupnim prihodima i rashodima.</w:t>
      </w:r>
    </w:p>
    <w:p w14:paraId="1E74FF1A" w14:textId="4006618C" w:rsidR="006C49FE" w:rsidRPr="006C49FE" w:rsidRDefault="006C49FE" w:rsidP="00D86C20">
      <w:pPr>
        <w:spacing w:line="276" w:lineRule="auto"/>
        <w:jc w:val="both"/>
        <w:rPr>
          <w:rFonts w:ascii="Times New Roman" w:hAnsi="Times New Roman" w:cs="Times New Roman"/>
          <w:i/>
          <w:iCs/>
        </w:rPr>
      </w:pPr>
      <w:r w:rsidRPr="006C49FE">
        <w:rPr>
          <w:rFonts w:ascii="Times New Roman" w:hAnsi="Times New Roman" w:cs="Times New Roman"/>
          <w:i/>
          <w:iCs/>
        </w:rPr>
        <w:t>Tablica 1. Plan prihoda i rashoda za 2023.g.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7"/>
        <w:gridCol w:w="1404"/>
        <w:gridCol w:w="1161"/>
        <w:gridCol w:w="908"/>
        <w:gridCol w:w="957"/>
      </w:tblGrid>
      <w:tr w:rsidR="00D86C20" w:rsidRPr="00F166B5" w14:paraId="08E3D687" w14:textId="77777777" w:rsidTr="00CF5682">
        <w:trPr>
          <w:cantSplit/>
          <w:trHeight w:val="819"/>
        </w:trPr>
        <w:tc>
          <w:tcPr>
            <w:tcW w:w="2555" w:type="pct"/>
            <w:tcBorders>
              <w:top w:val="nil"/>
              <w:left w:val="nil"/>
              <w:bottom w:val="nil"/>
              <w:right w:val="double" w:sz="4" w:space="0" w:color="auto"/>
            </w:tcBorders>
          </w:tcPr>
          <w:p w14:paraId="2D2A3ED4" w14:textId="77777777" w:rsidR="00D86C20" w:rsidRPr="00F166B5" w:rsidRDefault="00D86C20" w:rsidP="0014580E">
            <w:pPr>
              <w:spacing w:after="0" w:line="276" w:lineRule="auto"/>
              <w:rPr>
                <w:rFonts w:ascii="Calibri" w:hAnsi="Calibri"/>
                <w:sz w:val="18"/>
                <w:szCs w:val="18"/>
              </w:rPr>
            </w:pPr>
          </w:p>
        </w:tc>
        <w:tc>
          <w:tcPr>
            <w:tcW w:w="775" w:type="pct"/>
            <w:tcBorders>
              <w:top w:val="double" w:sz="4" w:space="0" w:color="auto"/>
              <w:left w:val="double" w:sz="4" w:space="0" w:color="auto"/>
              <w:bottom w:val="double" w:sz="4" w:space="0" w:color="auto"/>
            </w:tcBorders>
            <w:shd w:val="clear" w:color="auto" w:fill="A8D08D" w:themeFill="accent6" w:themeFillTint="99"/>
            <w:vAlign w:val="center"/>
          </w:tcPr>
          <w:p w14:paraId="48B923A8" w14:textId="77777777" w:rsidR="00D86C20" w:rsidRPr="00CA4774" w:rsidRDefault="00D86C20" w:rsidP="001732F7">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OSTVARENJE  2022.*</w:t>
            </w:r>
          </w:p>
          <w:p w14:paraId="5AE8CA53" w14:textId="34469C7F" w:rsidR="001732F7" w:rsidRPr="00CA4774" w:rsidRDefault="001732F7" w:rsidP="001732F7">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01.01.-3</w:t>
            </w:r>
            <w:r w:rsidR="00D86C20" w:rsidRPr="00CA4774">
              <w:rPr>
                <w:rFonts w:ascii="Times New Roman" w:hAnsi="Times New Roman" w:cs="Times New Roman"/>
                <w:b/>
                <w:sz w:val="18"/>
                <w:szCs w:val="18"/>
              </w:rPr>
              <w:t>1.12.</w:t>
            </w:r>
          </w:p>
          <w:p w14:paraId="0199B94E" w14:textId="40C83011" w:rsidR="00D86C20" w:rsidRPr="00CA4774" w:rsidRDefault="00D86C20" w:rsidP="001732F7">
            <w:pPr>
              <w:spacing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w:t>
            </w:r>
          </w:p>
        </w:tc>
        <w:tc>
          <w:tcPr>
            <w:tcW w:w="641" w:type="pct"/>
            <w:tcBorders>
              <w:top w:val="double" w:sz="4" w:space="0" w:color="auto"/>
            </w:tcBorders>
            <w:shd w:val="clear" w:color="auto" w:fill="A8D08D" w:themeFill="accent6" w:themeFillTint="99"/>
          </w:tcPr>
          <w:p w14:paraId="01668D94" w14:textId="5559F459" w:rsidR="00D86C20" w:rsidRPr="00CA4774" w:rsidRDefault="00D86C20" w:rsidP="00EF4B60">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PLAN</w:t>
            </w:r>
          </w:p>
          <w:p w14:paraId="565208A2" w14:textId="77777777" w:rsidR="00D86C20" w:rsidRPr="00CA4774" w:rsidRDefault="00D86C20" w:rsidP="00EF4B60">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2023. g.</w:t>
            </w:r>
          </w:p>
          <w:p w14:paraId="24221817" w14:textId="77777777" w:rsidR="00D86C20" w:rsidRPr="00CA4774" w:rsidRDefault="00D86C20" w:rsidP="00EF4B60">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w:t>
            </w:r>
          </w:p>
        </w:tc>
        <w:tc>
          <w:tcPr>
            <w:tcW w:w="501" w:type="pct"/>
            <w:tcBorders>
              <w:top w:val="double" w:sz="4" w:space="0" w:color="auto"/>
            </w:tcBorders>
            <w:shd w:val="clear" w:color="auto" w:fill="A8D08D" w:themeFill="accent6" w:themeFillTint="99"/>
          </w:tcPr>
          <w:p w14:paraId="1B51794E" w14:textId="77777777" w:rsidR="00D86C20" w:rsidRPr="00CA4774" w:rsidRDefault="00D86C20" w:rsidP="00EF4B60">
            <w:pPr>
              <w:spacing w:after="0" w:line="276" w:lineRule="auto"/>
              <w:rPr>
                <w:rFonts w:ascii="Times New Roman" w:hAnsi="Times New Roman" w:cs="Times New Roman"/>
                <w:b/>
                <w:sz w:val="18"/>
                <w:szCs w:val="18"/>
              </w:rPr>
            </w:pPr>
            <w:r w:rsidRPr="00CA4774">
              <w:rPr>
                <w:rFonts w:ascii="Times New Roman" w:hAnsi="Times New Roman" w:cs="Times New Roman"/>
                <w:b/>
                <w:sz w:val="18"/>
                <w:szCs w:val="18"/>
              </w:rPr>
              <w:t>INDEKS</w:t>
            </w:r>
          </w:p>
          <w:p w14:paraId="75F9493C" w14:textId="191FF530" w:rsidR="00B31BB1" w:rsidRPr="00CA4774" w:rsidRDefault="00B31BB1" w:rsidP="00EF4B60">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2:1</w:t>
            </w:r>
          </w:p>
        </w:tc>
        <w:tc>
          <w:tcPr>
            <w:tcW w:w="528" w:type="pct"/>
            <w:tcBorders>
              <w:top w:val="double" w:sz="4" w:space="0" w:color="auto"/>
              <w:right w:val="double" w:sz="4" w:space="0" w:color="auto"/>
            </w:tcBorders>
            <w:shd w:val="clear" w:color="auto" w:fill="A8D08D" w:themeFill="accent6" w:themeFillTint="99"/>
          </w:tcPr>
          <w:p w14:paraId="777B7A61" w14:textId="68F1C4C6" w:rsidR="00D86C20" w:rsidRPr="00CA4774" w:rsidRDefault="00D86C20" w:rsidP="00CF5682">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w:t>
            </w:r>
          </w:p>
          <w:p w14:paraId="5712D78B" w14:textId="334934B9" w:rsidR="00D86C20" w:rsidRPr="00CA4774" w:rsidRDefault="00D86C20" w:rsidP="00CF5682">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U</w:t>
            </w:r>
            <w:r w:rsidR="00B31BB1" w:rsidRPr="00CA4774">
              <w:rPr>
                <w:rFonts w:ascii="Times New Roman" w:hAnsi="Times New Roman" w:cs="Times New Roman"/>
                <w:b/>
                <w:sz w:val="18"/>
                <w:szCs w:val="18"/>
              </w:rPr>
              <w:t>DJELA</w:t>
            </w:r>
          </w:p>
        </w:tc>
      </w:tr>
      <w:tr w:rsidR="00060FFE" w:rsidRPr="00F166B5" w14:paraId="0276D066" w14:textId="77777777" w:rsidTr="009B3684">
        <w:trPr>
          <w:cantSplit/>
          <w:trHeight w:val="112"/>
        </w:trPr>
        <w:tc>
          <w:tcPr>
            <w:tcW w:w="2555" w:type="pct"/>
            <w:tcBorders>
              <w:top w:val="nil"/>
              <w:left w:val="nil"/>
              <w:bottom w:val="single" w:sz="4" w:space="0" w:color="auto"/>
              <w:right w:val="double" w:sz="4" w:space="0" w:color="auto"/>
            </w:tcBorders>
          </w:tcPr>
          <w:p w14:paraId="6887E18D" w14:textId="77777777" w:rsidR="00060FFE" w:rsidRPr="00F166B5" w:rsidRDefault="00060FFE" w:rsidP="0014580E">
            <w:pPr>
              <w:spacing w:after="0" w:line="276" w:lineRule="auto"/>
              <w:rPr>
                <w:rFonts w:ascii="Calibri" w:hAnsi="Calibri"/>
                <w:sz w:val="18"/>
                <w:szCs w:val="18"/>
              </w:rPr>
            </w:pPr>
          </w:p>
        </w:tc>
        <w:tc>
          <w:tcPr>
            <w:tcW w:w="775" w:type="pct"/>
            <w:tcBorders>
              <w:top w:val="double" w:sz="4" w:space="0" w:color="auto"/>
              <w:left w:val="double" w:sz="4" w:space="0" w:color="auto"/>
              <w:bottom w:val="double" w:sz="4" w:space="0" w:color="auto"/>
            </w:tcBorders>
            <w:shd w:val="clear" w:color="auto" w:fill="A8D08D" w:themeFill="accent6" w:themeFillTint="99"/>
            <w:vAlign w:val="center"/>
          </w:tcPr>
          <w:p w14:paraId="3FE4D403" w14:textId="232597EC" w:rsidR="00060FFE" w:rsidRPr="00EF4B60" w:rsidRDefault="00060FFE" w:rsidP="001732F7">
            <w:pPr>
              <w:spacing w:after="0" w:line="276" w:lineRule="auto"/>
              <w:jc w:val="center"/>
              <w:rPr>
                <w:rFonts w:ascii="Times New Roman" w:hAnsi="Times New Roman" w:cs="Times New Roman"/>
                <w:bCs/>
                <w:sz w:val="16"/>
                <w:szCs w:val="16"/>
              </w:rPr>
            </w:pPr>
            <w:r w:rsidRPr="00EF4B60">
              <w:rPr>
                <w:rFonts w:ascii="Times New Roman" w:hAnsi="Times New Roman" w:cs="Times New Roman"/>
                <w:bCs/>
                <w:sz w:val="16"/>
                <w:szCs w:val="16"/>
              </w:rPr>
              <w:t>1</w:t>
            </w:r>
          </w:p>
        </w:tc>
        <w:tc>
          <w:tcPr>
            <w:tcW w:w="641" w:type="pct"/>
            <w:tcBorders>
              <w:top w:val="double" w:sz="4" w:space="0" w:color="auto"/>
            </w:tcBorders>
            <w:shd w:val="clear" w:color="auto" w:fill="A8D08D" w:themeFill="accent6" w:themeFillTint="99"/>
            <w:vAlign w:val="center"/>
          </w:tcPr>
          <w:p w14:paraId="48A63F3F" w14:textId="7441FB6C" w:rsidR="00060FFE" w:rsidRPr="00EF4B60" w:rsidRDefault="00060FFE" w:rsidP="001732F7">
            <w:pPr>
              <w:spacing w:after="0" w:line="276" w:lineRule="auto"/>
              <w:jc w:val="center"/>
              <w:rPr>
                <w:rFonts w:ascii="Times New Roman" w:hAnsi="Times New Roman" w:cs="Times New Roman"/>
                <w:bCs/>
                <w:sz w:val="16"/>
                <w:szCs w:val="16"/>
              </w:rPr>
            </w:pPr>
            <w:r w:rsidRPr="00EF4B60">
              <w:rPr>
                <w:rFonts w:ascii="Times New Roman" w:hAnsi="Times New Roman" w:cs="Times New Roman"/>
                <w:bCs/>
                <w:sz w:val="16"/>
                <w:szCs w:val="16"/>
              </w:rPr>
              <w:t>2</w:t>
            </w:r>
          </w:p>
        </w:tc>
        <w:tc>
          <w:tcPr>
            <w:tcW w:w="501" w:type="pct"/>
            <w:tcBorders>
              <w:top w:val="double" w:sz="4" w:space="0" w:color="auto"/>
            </w:tcBorders>
            <w:shd w:val="clear" w:color="auto" w:fill="A8D08D" w:themeFill="accent6" w:themeFillTint="99"/>
            <w:vAlign w:val="center"/>
          </w:tcPr>
          <w:p w14:paraId="2CD52AA8" w14:textId="2257420A" w:rsidR="00060FFE" w:rsidRPr="00EF4B60" w:rsidRDefault="00060FFE" w:rsidP="001732F7">
            <w:pPr>
              <w:spacing w:after="0" w:line="276" w:lineRule="auto"/>
              <w:jc w:val="center"/>
              <w:rPr>
                <w:rFonts w:ascii="Times New Roman" w:hAnsi="Times New Roman" w:cs="Times New Roman"/>
                <w:bCs/>
                <w:sz w:val="16"/>
                <w:szCs w:val="16"/>
              </w:rPr>
            </w:pPr>
            <w:r w:rsidRPr="00EF4B60">
              <w:rPr>
                <w:rFonts w:ascii="Times New Roman" w:hAnsi="Times New Roman" w:cs="Times New Roman"/>
                <w:bCs/>
                <w:sz w:val="16"/>
                <w:szCs w:val="16"/>
              </w:rPr>
              <w:t>3</w:t>
            </w:r>
          </w:p>
        </w:tc>
        <w:tc>
          <w:tcPr>
            <w:tcW w:w="528" w:type="pct"/>
            <w:tcBorders>
              <w:top w:val="double" w:sz="4" w:space="0" w:color="auto"/>
              <w:right w:val="double" w:sz="4" w:space="0" w:color="auto"/>
            </w:tcBorders>
            <w:shd w:val="clear" w:color="auto" w:fill="A8D08D" w:themeFill="accent6" w:themeFillTint="99"/>
            <w:vAlign w:val="center"/>
          </w:tcPr>
          <w:p w14:paraId="08D22F8C" w14:textId="088D5161" w:rsidR="00060FFE" w:rsidRPr="00EF4B60" w:rsidRDefault="00060FFE" w:rsidP="001732F7">
            <w:pPr>
              <w:spacing w:after="0" w:line="276" w:lineRule="auto"/>
              <w:jc w:val="center"/>
              <w:rPr>
                <w:rFonts w:ascii="Times New Roman" w:hAnsi="Times New Roman" w:cs="Times New Roman"/>
                <w:bCs/>
                <w:sz w:val="16"/>
                <w:szCs w:val="16"/>
              </w:rPr>
            </w:pPr>
            <w:r w:rsidRPr="00EF4B60">
              <w:rPr>
                <w:rFonts w:ascii="Times New Roman" w:hAnsi="Times New Roman" w:cs="Times New Roman"/>
                <w:bCs/>
                <w:sz w:val="16"/>
                <w:szCs w:val="16"/>
              </w:rPr>
              <w:t>4</w:t>
            </w:r>
          </w:p>
        </w:tc>
      </w:tr>
      <w:tr w:rsidR="00D86C20" w:rsidRPr="00F166B5" w14:paraId="4BC62D6D" w14:textId="77777777" w:rsidTr="009B3684">
        <w:trPr>
          <w:trHeight w:val="386"/>
        </w:trPr>
        <w:tc>
          <w:tcPr>
            <w:tcW w:w="2555" w:type="pct"/>
            <w:tcBorders>
              <w:top w:val="single" w:sz="4" w:space="0" w:color="auto"/>
              <w:left w:val="double" w:sz="4" w:space="0" w:color="auto"/>
            </w:tcBorders>
            <w:shd w:val="clear" w:color="auto" w:fill="A8D08D" w:themeFill="accent6" w:themeFillTint="99"/>
          </w:tcPr>
          <w:p w14:paraId="6B8DDDAA" w14:textId="77777777" w:rsidR="00D86C20" w:rsidRPr="00CA4774" w:rsidRDefault="00D86C20" w:rsidP="007427C4">
            <w:pPr>
              <w:spacing w:line="276" w:lineRule="auto"/>
              <w:rPr>
                <w:rFonts w:ascii="Times New Roman" w:hAnsi="Times New Roman" w:cs="Times New Roman"/>
                <w:b/>
                <w:bCs/>
              </w:rPr>
            </w:pPr>
            <w:r w:rsidRPr="00CA4774">
              <w:rPr>
                <w:rFonts w:ascii="Times New Roman" w:hAnsi="Times New Roman" w:cs="Times New Roman"/>
                <w:b/>
                <w:bCs/>
              </w:rPr>
              <w:t>A)  PRIHODI</w:t>
            </w:r>
          </w:p>
        </w:tc>
        <w:tc>
          <w:tcPr>
            <w:tcW w:w="775" w:type="pct"/>
            <w:tcBorders>
              <w:top w:val="double" w:sz="4" w:space="0" w:color="auto"/>
            </w:tcBorders>
            <w:shd w:val="clear" w:color="auto" w:fill="A8D08D" w:themeFill="accent6" w:themeFillTint="99"/>
            <w:vAlign w:val="center"/>
          </w:tcPr>
          <w:p w14:paraId="3C7DC3B6" w14:textId="77777777" w:rsidR="00D86C20" w:rsidRPr="00CA4774" w:rsidRDefault="00D86C20" w:rsidP="007427C4">
            <w:pPr>
              <w:spacing w:line="276" w:lineRule="auto"/>
              <w:jc w:val="right"/>
              <w:rPr>
                <w:rFonts w:ascii="Times New Roman" w:hAnsi="Times New Roman" w:cs="Times New Roman"/>
                <w:sz w:val="18"/>
                <w:szCs w:val="18"/>
              </w:rPr>
            </w:pPr>
          </w:p>
        </w:tc>
        <w:tc>
          <w:tcPr>
            <w:tcW w:w="641" w:type="pct"/>
            <w:tcBorders>
              <w:top w:val="double" w:sz="4" w:space="0" w:color="auto"/>
            </w:tcBorders>
            <w:shd w:val="clear" w:color="auto" w:fill="A8D08D" w:themeFill="accent6" w:themeFillTint="99"/>
            <w:vAlign w:val="center"/>
          </w:tcPr>
          <w:p w14:paraId="3FC9E7D2" w14:textId="77777777" w:rsidR="00D86C20" w:rsidRPr="00CA4774" w:rsidRDefault="00D86C20" w:rsidP="007427C4">
            <w:pPr>
              <w:spacing w:line="276" w:lineRule="auto"/>
              <w:jc w:val="center"/>
              <w:rPr>
                <w:rFonts w:ascii="Times New Roman" w:hAnsi="Times New Roman" w:cs="Times New Roman"/>
                <w:sz w:val="18"/>
                <w:szCs w:val="18"/>
              </w:rPr>
            </w:pPr>
          </w:p>
        </w:tc>
        <w:tc>
          <w:tcPr>
            <w:tcW w:w="501" w:type="pct"/>
            <w:tcBorders>
              <w:top w:val="double" w:sz="4" w:space="0" w:color="auto"/>
            </w:tcBorders>
            <w:shd w:val="clear" w:color="auto" w:fill="A8D08D" w:themeFill="accent6" w:themeFillTint="99"/>
          </w:tcPr>
          <w:p w14:paraId="3FCF40CD" w14:textId="77777777" w:rsidR="00D86C20" w:rsidRPr="00CA4774" w:rsidRDefault="00D86C20" w:rsidP="007427C4">
            <w:pPr>
              <w:spacing w:line="276" w:lineRule="auto"/>
              <w:jc w:val="center"/>
              <w:rPr>
                <w:rFonts w:ascii="Times New Roman" w:hAnsi="Times New Roman" w:cs="Times New Roman"/>
                <w:sz w:val="18"/>
                <w:szCs w:val="18"/>
              </w:rPr>
            </w:pPr>
          </w:p>
        </w:tc>
        <w:tc>
          <w:tcPr>
            <w:tcW w:w="528" w:type="pct"/>
            <w:tcBorders>
              <w:top w:val="double" w:sz="4" w:space="0" w:color="auto"/>
              <w:right w:val="double" w:sz="4" w:space="0" w:color="auto"/>
            </w:tcBorders>
            <w:shd w:val="clear" w:color="auto" w:fill="A8D08D" w:themeFill="accent6" w:themeFillTint="99"/>
            <w:vAlign w:val="center"/>
          </w:tcPr>
          <w:p w14:paraId="0CF5C654" w14:textId="77777777" w:rsidR="00D86C20" w:rsidRPr="00CA4774" w:rsidRDefault="00D86C20" w:rsidP="007427C4">
            <w:pPr>
              <w:spacing w:line="276" w:lineRule="auto"/>
              <w:jc w:val="center"/>
              <w:rPr>
                <w:rFonts w:ascii="Times New Roman" w:hAnsi="Times New Roman" w:cs="Times New Roman"/>
                <w:sz w:val="18"/>
                <w:szCs w:val="18"/>
              </w:rPr>
            </w:pPr>
          </w:p>
        </w:tc>
      </w:tr>
      <w:tr w:rsidR="00D86C20" w:rsidRPr="00F166B5" w14:paraId="54350A45" w14:textId="77777777" w:rsidTr="009B3684">
        <w:trPr>
          <w:trHeight w:hRule="exact" w:val="284"/>
        </w:trPr>
        <w:tc>
          <w:tcPr>
            <w:tcW w:w="2555" w:type="pct"/>
            <w:tcBorders>
              <w:left w:val="double" w:sz="4" w:space="0" w:color="auto"/>
            </w:tcBorders>
          </w:tcPr>
          <w:p w14:paraId="0CC98F2F" w14:textId="51067A21"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1.a.  Prikupljanje i prijevoz otpada</w:t>
            </w:r>
          </w:p>
        </w:tc>
        <w:tc>
          <w:tcPr>
            <w:tcW w:w="775" w:type="pct"/>
            <w:vAlign w:val="center"/>
          </w:tcPr>
          <w:p w14:paraId="2B86B6B9"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1.019.045,72</w:t>
            </w:r>
          </w:p>
        </w:tc>
        <w:tc>
          <w:tcPr>
            <w:tcW w:w="641" w:type="pct"/>
            <w:vAlign w:val="center"/>
          </w:tcPr>
          <w:p w14:paraId="6A1C96F8"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1.080.002,55</w:t>
            </w:r>
          </w:p>
        </w:tc>
        <w:tc>
          <w:tcPr>
            <w:tcW w:w="501" w:type="pct"/>
            <w:vAlign w:val="bottom"/>
          </w:tcPr>
          <w:p w14:paraId="65D89809"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106,0</w:t>
            </w:r>
          </w:p>
        </w:tc>
        <w:tc>
          <w:tcPr>
            <w:tcW w:w="528" w:type="pct"/>
            <w:tcBorders>
              <w:right w:val="double" w:sz="4" w:space="0" w:color="auto"/>
            </w:tcBorders>
            <w:vAlign w:val="bottom"/>
          </w:tcPr>
          <w:p w14:paraId="414D7958"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18,5</w:t>
            </w:r>
          </w:p>
        </w:tc>
      </w:tr>
      <w:tr w:rsidR="00D86C20" w:rsidRPr="00F166B5" w14:paraId="58F9F217" w14:textId="77777777" w:rsidTr="009B3684">
        <w:trPr>
          <w:trHeight w:hRule="exact" w:val="284"/>
        </w:trPr>
        <w:tc>
          <w:tcPr>
            <w:tcW w:w="2555" w:type="pct"/>
            <w:tcBorders>
              <w:left w:val="double" w:sz="4" w:space="0" w:color="auto"/>
            </w:tcBorders>
          </w:tcPr>
          <w:p w14:paraId="11D7E916" w14:textId="77777777" w:rsidR="00D86C20" w:rsidRPr="00CA4774" w:rsidRDefault="00D86C20" w:rsidP="009100D3">
            <w:pPr>
              <w:spacing w:after="0" w:line="276" w:lineRule="auto"/>
              <w:rPr>
                <w:rFonts w:ascii="Times New Roman" w:hAnsi="Times New Roman" w:cs="Times New Roman"/>
                <w:sz w:val="18"/>
                <w:szCs w:val="18"/>
              </w:rPr>
            </w:pPr>
            <w:r w:rsidRPr="00CA4774">
              <w:rPr>
                <w:rFonts w:ascii="Times New Roman" w:hAnsi="Times New Roman" w:cs="Times New Roman"/>
                <w:sz w:val="18"/>
                <w:szCs w:val="18"/>
              </w:rPr>
              <w:t xml:space="preserve">           a) iz Proračuna Grada</w:t>
            </w:r>
          </w:p>
        </w:tc>
        <w:tc>
          <w:tcPr>
            <w:tcW w:w="775" w:type="pct"/>
            <w:vAlign w:val="center"/>
          </w:tcPr>
          <w:p w14:paraId="2315B9AD"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8.162,45</w:t>
            </w:r>
          </w:p>
        </w:tc>
        <w:tc>
          <w:tcPr>
            <w:tcW w:w="641" w:type="pct"/>
            <w:vAlign w:val="center"/>
          </w:tcPr>
          <w:p w14:paraId="1380DCAB"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8.162,45</w:t>
            </w:r>
          </w:p>
        </w:tc>
        <w:tc>
          <w:tcPr>
            <w:tcW w:w="501" w:type="pct"/>
            <w:vAlign w:val="bottom"/>
          </w:tcPr>
          <w:p w14:paraId="519E5626"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100,0</w:t>
            </w:r>
          </w:p>
        </w:tc>
        <w:tc>
          <w:tcPr>
            <w:tcW w:w="528" w:type="pct"/>
            <w:tcBorders>
              <w:right w:val="double" w:sz="4" w:space="0" w:color="auto"/>
            </w:tcBorders>
            <w:vAlign w:val="bottom"/>
          </w:tcPr>
          <w:p w14:paraId="425BDB54"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0,1</w:t>
            </w:r>
          </w:p>
        </w:tc>
      </w:tr>
      <w:tr w:rsidR="00D86C20" w:rsidRPr="00F166B5" w14:paraId="10A50CCC" w14:textId="77777777" w:rsidTr="009B3684">
        <w:trPr>
          <w:trHeight w:hRule="exact" w:val="284"/>
        </w:trPr>
        <w:tc>
          <w:tcPr>
            <w:tcW w:w="2555" w:type="pct"/>
            <w:tcBorders>
              <w:left w:val="double" w:sz="4" w:space="0" w:color="auto"/>
            </w:tcBorders>
          </w:tcPr>
          <w:p w14:paraId="07C94EA0" w14:textId="77777777" w:rsidR="00D86C20" w:rsidRPr="00CA4774" w:rsidRDefault="00D86C20" w:rsidP="009100D3">
            <w:pPr>
              <w:spacing w:after="0" w:line="276" w:lineRule="auto"/>
              <w:rPr>
                <w:rFonts w:ascii="Times New Roman" w:hAnsi="Times New Roman" w:cs="Times New Roman"/>
                <w:sz w:val="18"/>
                <w:szCs w:val="18"/>
              </w:rPr>
            </w:pPr>
            <w:r w:rsidRPr="00CA4774">
              <w:rPr>
                <w:rFonts w:ascii="Times New Roman" w:hAnsi="Times New Roman" w:cs="Times New Roman"/>
                <w:sz w:val="18"/>
                <w:szCs w:val="18"/>
              </w:rPr>
              <w:t xml:space="preserve">           b) domaćinstva i poslovni prostori</w:t>
            </w:r>
          </w:p>
        </w:tc>
        <w:tc>
          <w:tcPr>
            <w:tcW w:w="775" w:type="pct"/>
            <w:vAlign w:val="center"/>
          </w:tcPr>
          <w:p w14:paraId="50DA03AD"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1.010.883,27</w:t>
            </w:r>
          </w:p>
        </w:tc>
        <w:tc>
          <w:tcPr>
            <w:tcW w:w="641" w:type="pct"/>
            <w:vAlign w:val="center"/>
          </w:tcPr>
          <w:p w14:paraId="56CBDC7D"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1.071.840,10</w:t>
            </w:r>
          </w:p>
        </w:tc>
        <w:tc>
          <w:tcPr>
            <w:tcW w:w="501" w:type="pct"/>
            <w:vAlign w:val="bottom"/>
          </w:tcPr>
          <w:p w14:paraId="65D67CAD"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106,0</w:t>
            </w:r>
          </w:p>
        </w:tc>
        <w:tc>
          <w:tcPr>
            <w:tcW w:w="528" w:type="pct"/>
            <w:tcBorders>
              <w:right w:val="double" w:sz="4" w:space="0" w:color="auto"/>
            </w:tcBorders>
            <w:vAlign w:val="bottom"/>
          </w:tcPr>
          <w:p w14:paraId="7079EDCF"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18,4</w:t>
            </w:r>
          </w:p>
        </w:tc>
      </w:tr>
      <w:tr w:rsidR="00D86C20" w:rsidRPr="00F166B5" w14:paraId="581D4C01" w14:textId="77777777" w:rsidTr="009B3684">
        <w:trPr>
          <w:trHeight w:hRule="exact" w:val="284"/>
        </w:trPr>
        <w:tc>
          <w:tcPr>
            <w:tcW w:w="2555" w:type="pct"/>
            <w:tcBorders>
              <w:left w:val="double" w:sz="4" w:space="0" w:color="auto"/>
            </w:tcBorders>
          </w:tcPr>
          <w:p w14:paraId="26E8A57C" w14:textId="1403F21E"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1.b.  Zbrinjavanje otpada</w:t>
            </w:r>
          </w:p>
        </w:tc>
        <w:tc>
          <w:tcPr>
            <w:tcW w:w="775" w:type="pct"/>
            <w:vAlign w:val="center"/>
          </w:tcPr>
          <w:p w14:paraId="46214270"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1.820.956,93</w:t>
            </w:r>
          </w:p>
        </w:tc>
        <w:tc>
          <w:tcPr>
            <w:tcW w:w="641" w:type="pct"/>
            <w:vAlign w:val="center"/>
          </w:tcPr>
          <w:p w14:paraId="04FEABF7"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2.024.500,99</w:t>
            </w:r>
          </w:p>
        </w:tc>
        <w:tc>
          <w:tcPr>
            <w:tcW w:w="501" w:type="pct"/>
            <w:vAlign w:val="bottom"/>
          </w:tcPr>
          <w:p w14:paraId="3917DE13"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111,2</w:t>
            </w:r>
          </w:p>
        </w:tc>
        <w:tc>
          <w:tcPr>
            <w:tcW w:w="528" w:type="pct"/>
            <w:tcBorders>
              <w:right w:val="double" w:sz="4" w:space="0" w:color="auto"/>
            </w:tcBorders>
            <w:vAlign w:val="bottom"/>
          </w:tcPr>
          <w:p w14:paraId="63AF5358"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34,8</w:t>
            </w:r>
          </w:p>
        </w:tc>
      </w:tr>
      <w:tr w:rsidR="00D86C20" w:rsidRPr="00F166B5" w14:paraId="54523445" w14:textId="77777777" w:rsidTr="009B3684">
        <w:trPr>
          <w:trHeight w:hRule="exact" w:val="284"/>
        </w:trPr>
        <w:tc>
          <w:tcPr>
            <w:tcW w:w="2555" w:type="pct"/>
            <w:tcBorders>
              <w:left w:val="double" w:sz="4" w:space="0" w:color="auto"/>
            </w:tcBorders>
            <w:shd w:val="clear" w:color="auto" w:fill="auto"/>
          </w:tcPr>
          <w:p w14:paraId="76F9B7EC" w14:textId="4FD2909B" w:rsidR="00D86C20" w:rsidRPr="00CA4774" w:rsidRDefault="00F2349C" w:rsidP="007427C4">
            <w:pPr>
              <w:numPr>
                <w:ilvl w:val="0"/>
                <w:numId w:val="12"/>
              </w:numPr>
              <w:spacing w:after="0" w:line="276" w:lineRule="auto"/>
              <w:ind w:left="601" w:hanging="142"/>
              <w:rPr>
                <w:rFonts w:ascii="Times New Roman" w:hAnsi="Times New Roman" w:cs="Times New Roman"/>
                <w:sz w:val="18"/>
                <w:szCs w:val="18"/>
              </w:rPr>
            </w:pPr>
            <w:r w:rsidRPr="00CA4774">
              <w:rPr>
                <w:rFonts w:ascii="Times New Roman" w:hAnsi="Times New Roman" w:cs="Times New Roman"/>
                <w:sz w:val="18"/>
                <w:szCs w:val="18"/>
              </w:rPr>
              <w:t xml:space="preserve"> </w:t>
            </w:r>
            <w:r w:rsidR="00D86C20" w:rsidRPr="00CA4774">
              <w:rPr>
                <w:rFonts w:ascii="Times New Roman" w:hAnsi="Times New Roman" w:cs="Times New Roman"/>
                <w:sz w:val="18"/>
                <w:szCs w:val="18"/>
              </w:rPr>
              <w:t>iz proračuna Grada</w:t>
            </w:r>
          </w:p>
        </w:tc>
        <w:tc>
          <w:tcPr>
            <w:tcW w:w="775" w:type="pct"/>
            <w:vAlign w:val="center"/>
          </w:tcPr>
          <w:p w14:paraId="6511D8B6"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3.848,96</w:t>
            </w:r>
          </w:p>
        </w:tc>
        <w:tc>
          <w:tcPr>
            <w:tcW w:w="641" w:type="pct"/>
            <w:vAlign w:val="center"/>
          </w:tcPr>
          <w:p w14:paraId="78B3A13F"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11.945,05</w:t>
            </w:r>
          </w:p>
        </w:tc>
        <w:tc>
          <w:tcPr>
            <w:tcW w:w="501" w:type="pct"/>
            <w:vAlign w:val="bottom"/>
          </w:tcPr>
          <w:p w14:paraId="1E3DD3A4"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310,3</w:t>
            </w:r>
          </w:p>
        </w:tc>
        <w:tc>
          <w:tcPr>
            <w:tcW w:w="528" w:type="pct"/>
            <w:tcBorders>
              <w:right w:val="double" w:sz="4" w:space="0" w:color="auto"/>
            </w:tcBorders>
            <w:vAlign w:val="bottom"/>
          </w:tcPr>
          <w:p w14:paraId="44ED07D4"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0,2</w:t>
            </w:r>
          </w:p>
        </w:tc>
      </w:tr>
      <w:tr w:rsidR="00D86C20" w:rsidRPr="00F166B5" w14:paraId="40E6641A" w14:textId="77777777" w:rsidTr="009B3684">
        <w:trPr>
          <w:trHeight w:hRule="exact" w:val="284"/>
        </w:trPr>
        <w:tc>
          <w:tcPr>
            <w:tcW w:w="2555" w:type="pct"/>
            <w:tcBorders>
              <w:left w:val="double" w:sz="4" w:space="0" w:color="auto"/>
            </w:tcBorders>
          </w:tcPr>
          <w:p w14:paraId="70AC1640" w14:textId="5C026D70" w:rsidR="00D86C20" w:rsidRPr="00CA4774" w:rsidRDefault="00D86C20" w:rsidP="009100D3">
            <w:pPr>
              <w:spacing w:after="0" w:line="276" w:lineRule="auto"/>
              <w:rPr>
                <w:rFonts w:ascii="Times New Roman" w:hAnsi="Times New Roman" w:cs="Times New Roman"/>
                <w:sz w:val="18"/>
                <w:szCs w:val="18"/>
              </w:rPr>
            </w:pPr>
            <w:r w:rsidRPr="00CA4774">
              <w:rPr>
                <w:rFonts w:ascii="Times New Roman" w:hAnsi="Times New Roman" w:cs="Times New Roman"/>
                <w:sz w:val="18"/>
                <w:szCs w:val="18"/>
              </w:rPr>
              <w:t xml:space="preserve">           b) domaćinstva i poslovni prostori</w:t>
            </w:r>
          </w:p>
        </w:tc>
        <w:tc>
          <w:tcPr>
            <w:tcW w:w="775" w:type="pct"/>
            <w:vAlign w:val="center"/>
          </w:tcPr>
          <w:p w14:paraId="14DE97A1"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834.959,19</w:t>
            </w:r>
          </w:p>
        </w:tc>
        <w:tc>
          <w:tcPr>
            <w:tcW w:w="641" w:type="pct"/>
            <w:vAlign w:val="center"/>
          </w:tcPr>
          <w:p w14:paraId="3A6BB110"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913.185,70</w:t>
            </w:r>
          </w:p>
        </w:tc>
        <w:tc>
          <w:tcPr>
            <w:tcW w:w="501" w:type="pct"/>
          </w:tcPr>
          <w:p w14:paraId="507487C8" w14:textId="77777777" w:rsidR="00D86C20" w:rsidRPr="00CA4774" w:rsidRDefault="00D86C20" w:rsidP="009100D3">
            <w:pPr>
              <w:spacing w:after="0" w:line="276" w:lineRule="auto"/>
              <w:jc w:val="center"/>
              <w:rPr>
                <w:rFonts w:ascii="Times New Roman" w:hAnsi="Times New Roman" w:cs="Times New Roman"/>
                <w:sz w:val="18"/>
                <w:szCs w:val="18"/>
              </w:rPr>
            </w:pPr>
            <w:r w:rsidRPr="00CA4774">
              <w:rPr>
                <w:rFonts w:ascii="Times New Roman" w:hAnsi="Times New Roman" w:cs="Times New Roman"/>
                <w:sz w:val="18"/>
                <w:szCs w:val="18"/>
              </w:rPr>
              <w:t>109,4</w:t>
            </w:r>
          </w:p>
        </w:tc>
        <w:tc>
          <w:tcPr>
            <w:tcW w:w="528" w:type="pct"/>
            <w:tcBorders>
              <w:right w:val="double" w:sz="4" w:space="0" w:color="auto"/>
            </w:tcBorders>
            <w:vAlign w:val="bottom"/>
          </w:tcPr>
          <w:p w14:paraId="2189DCC0"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15,7</w:t>
            </w:r>
          </w:p>
        </w:tc>
      </w:tr>
      <w:tr w:rsidR="00D86C20" w:rsidRPr="00F166B5" w14:paraId="4D7CC898" w14:textId="77777777" w:rsidTr="009B3684">
        <w:trPr>
          <w:trHeight w:hRule="exact" w:val="284"/>
        </w:trPr>
        <w:tc>
          <w:tcPr>
            <w:tcW w:w="2555" w:type="pct"/>
            <w:tcBorders>
              <w:left w:val="double" w:sz="4" w:space="0" w:color="auto"/>
            </w:tcBorders>
          </w:tcPr>
          <w:p w14:paraId="619B15AE" w14:textId="642D4770" w:rsidR="00D86C20" w:rsidRPr="00CA4774" w:rsidRDefault="00D86C20" w:rsidP="009100D3">
            <w:pPr>
              <w:spacing w:after="0" w:line="276" w:lineRule="auto"/>
              <w:rPr>
                <w:rFonts w:ascii="Times New Roman" w:hAnsi="Times New Roman" w:cs="Times New Roman"/>
                <w:sz w:val="18"/>
                <w:szCs w:val="18"/>
              </w:rPr>
            </w:pPr>
            <w:r w:rsidRPr="00CA4774">
              <w:rPr>
                <w:rFonts w:ascii="Times New Roman" w:hAnsi="Times New Roman" w:cs="Times New Roman"/>
                <w:sz w:val="18"/>
                <w:szCs w:val="18"/>
              </w:rPr>
              <w:t xml:space="preserve">           c) oporabilište</w:t>
            </w:r>
          </w:p>
        </w:tc>
        <w:tc>
          <w:tcPr>
            <w:tcW w:w="775" w:type="pct"/>
            <w:vAlign w:val="center"/>
          </w:tcPr>
          <w:p w14:paraId="159BA50E"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371.623,86</w:t>
            </w:r>
          </w:p>
        </w:tc>
        <w:tc>
          <w:tcPr>
            <w:tcW w:w="641" w:type="pct"/>
            <w:vAlign w:val="center"/>
          </w:tcPr>
          <w:p w14:paraId="0F17D2B2"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418.318,66</w:t>
            </w:r>
          </w:p>
        </w:tc>
        <w:tc>
          <w:tcPr>
            <w:tcW w:w="501" w:type="pct"/>
            <w:vAlign w:val="center"/>
          </w:tcPr>
          <w:p w14:paraId="1FFAAA84" w14:textId="77777777" w:rsidR="00D86C20" w:rsidRPr="00CA4774" w:rsidRDefault="00D86C20" w:rsidP="009100D3">
            <w:pPr>
              <w:spacing w:after="0" w:line="276" w:lineRule="auto"/>
              <w:jc w:val="center"/>
              <w:rPr>
                <w:rFonts w:ascii="Times New Roman" w:hAnsi="Times New Roman" w:cs="Times New Roman"/>
                <w:sz w:val="18"/>
                <w:szCs w:val="18"/>
              </w:rPr>
            </w:pPr>
            <w:r w:rsidRPr="00CA4774">
              <w:rPr>
                <w:rFonts w:ascii="Times New Roman" w:hAnsi="Times New Roman" w:cs="Times New Roman"/>
                <w:sz w:val="18"/>
                <w:szCs w:val="18"/>
              </w:rPr>
              <w:t>112,6</w:t>
            </w:r>
          </w:p>
        </w:tc>
        <w:tc>
          <w:tcPr>
            <w:tcW w:w="528" w:type="pct"/>
            <w:tcBorders>
              <w:right w:val="double" w:sz="4" w:space="0" w:color="auto"/>
            </w:tcBorders>
            <w:vAlign w:val="bottom"/>
          </w:tcPr>
          <w:p w14:paraId="6E6C581A"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7,2</w:t>
            </w:r>
          </w:p>
        </w:tc>
      </w:tr>
      <w:tr w:rsidR="00D86C20" w:rsidRPr="00F166B5" w14:paraId="05A591C3" w14:textId="77777777" w:rsidTr="009B3684">
        <w:trPr>
          <w:trHeight w:hRule="exact" w:val="284"/>
        </w:trPr>
        <w:tc>
          <w:tcPr>
            <w:tcW w:w="2555" w:type="pct"/>
            <w:tcBorders>
              <w:left w:val="double" w:sz="4" w:space="0" w:color="auto"/>
            </w:tcBorders>
          </w:tcPr>
          <w:p w14:paraId="47283F78" w14:textId="381A8727" w:rsidR="00D86C20" w:rsidRPr="00CA4774" w:rsidRDefault="00D86C20" w:rsidP="009100D3">
            <w:pPr>
              <w:spacing w:after="0" w:line="276" w:lineRule="auto"/>
              <w:rPr>
                <w:rFonts w:ascii="Times New Roman" w:hAnsi="Times New Roman" w:cs="Times New Roman"/>
                <w:sz w:val="18"/>
                <w:szCs w:val="18"/>
              </w:rPr>
            </w:pPr>
            <w:r w:rsidRPr="00CA4774">
              <w:rPr>
                <w:rFonts w:ascii="Times New Roman" w:hAnsi="Times New Roman" w:cs="Times New Roman"/>
                <w:sz w:val="18"/>
                <w:szCs w:val="18"/>
              </w:rPr>
              <w:t xml:space="preserve">           d) odvojeno skupljanje</w:t>
            </w:r>
          </w:p>
        </w:tc>
        <w:tc>
          <w:tcPr>
            <w:tcW w:w="775" w:type="pct"/>
            <w:vAlign w:val="center"/>
          </w:tcPr>
          <w:p w14:paraId="6E17A6AC"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610.524,92</w:t>
            </w:r>
          </w:p>
        </w:tc>
        <w:tc>
          <w:tcPr>
            <w:tcW w:w="641" w:type="pct"/>
            <w:vAlign w:val="center"/>
          </w:tcPr>
          <w:p w14:paraId="1C620AA6"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681.051,58</w:t>
            </w:r>
          </w:p>
        </w:tc>
        <w:tc>
          <w:tcPr>
            <w:tcW w:w="501" w:type="pct"/>
          </w:tcPr>
          <w:p w14:paraId="783F4703" w14:textId="77777777" w:rsidR="00D86C20" w:rsidRPr="00CA4774" w:rsidRDefault="00D86C20" w:rsidP="009100D3">
            <w:pPr>
              <w:spacing w:after="0" w:line="276" w:lineRule="auto"/>
              <w:jc w:val="center"/>
              <w:rPr>
                <w:rFonts w:ascii="Times New Roman" w:hAnsi="Times New Roman" w:cs="Times New Roman"/>
                <w:sz w:val="18"/>
                <w:szCs w:val="18"/>
              </w:rPr>
            </w:pPr>
            <w:r w:rsidRPr="00CA4774">
              <w:rPr>
                <w:rFonts w:ascii="Times New Roman" w:hAnsi="Times New Roman" w:cs="Times New Roman"/>
                <w:sz w:val="18"/>
                <w:szCs w:val="18"/>
              </w:rPr>
              <w:t>111,6</w:t>
            </w:r>
          </w:p>
        </w:tc>
        <w:tc>
          <w:tcPr>
            <w:tcW w:w="528" w:type="pct"/>
            <w:tcBorders>
              <w:right w:val="double" w:sz="4" w:space="0" w:color="auto"/>
            </w:tcBorders>
            <w:vAlign w:val="bottom"/>
          </w:tcPr>
          <w:p w14:paraId="2E942D96"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11,7</w:t>
            </w:r>
          </w:p>
        </w:tc>
      </w:tr>
      <w:tr w:rsidR="00D86C20" w:rsidRPr="00F166B5" w14:paraId="312DAC94" w14:textId="77777777" w:rsidTr="009B3684">
        <w:trPr>
          <w:trHeight w:hRule="exact" w:val="284"/>
        </w:trPr>
        <w:tc>
          <w:tcPr>
            <w:tcW w:w="2555" w:type="pct"/>
            <w:tcBorders>
              <w:left w:val="double" w:sz="4" w:space="0" w:color="auto"/>
            </w:tcBorders>
          </w:tcPr>
          <w:p w14:paraId="3BD59725" w14:textId="073BA2FC" w:rsidR="00D86C20" w:rsidRPr="00CA4774" w:rsidRDefault="00D86C20" w:rsidP="007427C4">
            <w:pPr>
              <w:spacing w:line="276" w:lineRule="auto"/>
              <w:rPr>
                <w:rFonts w:ascii="Times New Roman" w:hAnsi="Times New Roman" w:cs="Times New Roman"/>
                <w:b/>
                <w:bCs/>
                <w:sz w:val="18"/>
                <w:szCs w:val="18"/>
              </w:rPr>
            </w:pPr>
            <w:r w:rsidRPr="00CA4774">
              <w:rPr>
                <w:rFonts w:ascii="Times New Roman" w:hAnsi="Times New Roman" w:cs="Times New Roman"/>
                <w:b/>
                <w:bCs/>
                <w:sz w:val="18"/>
                <w:szCs w:val="18"/>
              </w:rPr>
              <w:t xml:space="preserve"> </w:t>
            </w:r>
            <w:r w:rsidR="00F2349C" w:rsidRPr="00CA4774">
              <w:rPr>
                <w:rFonts w:ascii="Times New Roman" w:hAnsi="Times New Roman" w:cs="Times New Roman"/>
                <w:b/>
                <w:bCs/>
                <w:sz w:val="18"/>
                <w:szCs w:val="18"/>
              </w:rPr>
              <w:t xml:space="preserve">    </w:t>
            </w:r>
            <w:r w:rsidRPr="00CA4774">
              <w:rPr>
                <w:rFonts w:ascii="Times New Roman" w:hAnsi="Times New Roman" w:cs="Times New Roman"/>
                <w:b/>
                <w:bCs/>
                <w:sz w:val="18"/>
                <w:szCs w:val="18"/>
              </w:rPr>
              <w:t>2.  Usluge groblja (održavanje groblja, pogrebne usl</w:t>
            </w:r>
            <w:r w:rsidR="006C49FE" w:rsidRPr="00CA4774">
              <w:rPr>
                <w:rFonts w:ascii="Times New Roman" w:hAnsi="Times New Roman" w:cs="Times New Roman"/>
                <w:b/>
                <w:bCs/>
                <w:sz w:val="18"/>
                <w:szCs w:val="18"/>
              </w:rPr>
              <w:t>..)</w:t>
            </w:r>
          </w:p>
        </w:tc>
        <w:tc>
          <w:tcPr>
            <w:tcW w:w="775" w:type="pct"/>
            <w:vAlign w:val="center"/>
          </w:tcPr>
          <w:p w14:paraId="0C142DDA"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351.715,44</w:t>
            </w:r>
          </w:p>
        </w:tc>
        <w:tc>
          <w:tcPr>
            <w:tcW w:w="641" w:type="pct"/>
            <w:vAlign w:val="center"/>
          </w:tcPr>
          <w:p w14:paraId="7D2FBBA4"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438.634,32</w:t>
            </w:r>
          </w:p>
        </w:tc>
        <w:tc>
          <w:tcPr>
            <w:tcW w:w="501" w:type="pct"/>
            <w:vAlign w:val="bottom"/>
          </w:tcPr>
          <w:p w14:paraId="2B3E6C4E"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124,7</w:t>
            </w:r>
          </w:p>
        </w:tc>
        <w:tc>
          <w:tcPr>
            <w:tcW w:w="528" w:type="pct"/>
            <w:tcBorders>
              <w:right w:val="double" w:sz="4" w:space="0" w:color="auto"/>
            </w:tcBorders>
            <w:vAlign w:val="bottom"/>
          </w:tcPr>
          <w:p w14:paraId="14CDAB34"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7,5</w:t>
            </w:r>
          </w:p>
        </w:tc>
      </w:tr>
      <w:tr w:rsidR="00D86C20" w:rsidRPr="00F166B5" w14:paraId="4C6E25C8" w14:textId="77777777" w:rsidTr="009B3684">
        <w:trPr>
          <w:trHeight w:hRule="exact" w:val="284"/>
        </w:trPr>
        <w:tc>
          <w:tcPr>
            <w:tcW w:w="2555" w:type="pct"/>
            <w:tcBorders>
              <w:left w:val="double" w:sz="4" w:space="0" w:color="auto"/>
            </w:tcBorders>
          </w:tcPr>
          <w:p w14:paraId="40427691" w14:textId="77777777" w:rsidR="00D86C20" w:rsidRPr="00CA4774" w:rsidRDefault="00D86C20" w:rsidP="007427C4">
            <w:pPr>
              <w:spacing w:line="276" w:lineRule="auto"/>
              <w:rPr>
                <w:rFonts w:ascii="Times New Roman" w:hAnsi="Times New Roman" w:cs="Times New Roman"/>
                <w:b/>
                <w:bCs/>
                <w:sz w:val="18"/>
                <w:szCs w:val="18"/>
              </w:rPr>
            </w:pPr>
            <w:r w:rsidRPr="00CA4774">
              <w:rPr>
                <w:rFonts w:ascii="Times New Roman" w:hAnsi="Times New Roman" w:cs="Times New Roman"/>
                <w:b/>
                <w:bCs/>
                <w:sz w:val="18"/>
                <w:szCs w:val="18"/>
              </w:rPr>
              <w:t xml:space="preserve">     3. Usluge građevinske operative</w:t>
            </w:r>
          </w:p>
        </w:tc>
        <w:tc>
          <w:tcPr>
            <w:tcW w:w="775" w:type="pct"/>
            <w:vAlign w:val="center"/>
          </w:tcPr>
          <w:p w14:paraId="50CB797C"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179.175,79</w:t>
            </w:r>
          </w:p>
        </w:tc>
        <w:tc>
          <w:tcPr>
            <w:tcW w:w="641" w:type="pct"/>
            <w:vAlign w:val="center"/>
          </w:tcPr>
          <w:p w14:paraId="29005799"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172.539,65</w:t>
            </w:r>
          </w:p>
        </w:tc>
        <w:tc>
          <w:tcPr>
            <w:tcW w:w="501" w:type="pct"/>
            <w:vAlign w:val="bottom"/>
          </w:tcPr>
          <w:p w14:paraId="0D2D6259"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93,6</w:t>
            </w:r>
          </w:p>
        </w:tc>
        <w:tc>
          <w:tcPr>
            <w:tcW w:w="528" w:type="pct"/>
            <w:tcBorders>
              <w:right w:val="double" w:sz="4" w:space="0" w:color="auto"/>
            </w:tcBorders>
            <w:vAlign w:val="bottom"/>
          </w:tcPr>
          <w:p w14:paraId="2122BB0A"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3,0</w:t>
            </w:r>
          </w:p>
        </w:tc>
      </w:tr>
      <w:tr w:rsidR="00D86C20" w:rsidRPr="00F166B5" w14:paraId="35CFE48D" w14:textId="77777777" w:rsidTr="009B3684">
        <w:trPr>
          <w:trHeight w:hRule="exact" w:val="284"/>
        </w:trPr>
        <w:tc>
          <w:tcPr>
            <w:tcW w:w="2555" w:type="pct"/>
            <w:tcBorders>
              <w:left w:val="double" w:sz="4" w:space="0" w:color="auto"/>
            </w:tcBorders>
          </w:tcPr>
          <w:p w14:paraId="38AC3782"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4.  Trgovine</w:t>
            </w:r>
          </w:p>
        </w:tc>
        <w:tc>
          <w:tcPr>
            <w:tcW w:w="775" w:type="pct"/>
            <w:vAlign w:val="center"/>
          </w:tcPr>
          <w:p w14:paraId="41DA4580"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371.623,86</w:t>
            </w:r>
          </w:p>
        </w:tc>
        <w:tc>
          <w:tcPr>
            <w:tcW w:w="641" w:type="pct"/>
            <w:vAlign w:val="center"/>
          </w:tcPr>
          <w:p w14:paraId="6DA92015"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434.667,20</w:t>
            </w:r>
          </w:p>
        </w:tc>
        <w:tc>
          <w:tcPr>
            <w:tcW w:w="501" w:type="pct"/>
            <w:vAlign w:val="bottom"/>
          </w:tcPr>
          <w:p w14:paraId="0C40A4A4"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117,0</w:t>
            </w:r>
          </w:p>
        </w:tc>
        <w:tc>
          <w:tcPr>
            <w:tcW w:w="528" w:type="pct"/>
            <w:tcBorders>
              <w:right w:val="double" w:sz="4" w:space="0" w:color="auto"/>
            </w:tcBorders>
            <w:vAlign w:val="bottom"/>
          </w:tcPr>
          <w:p w14:paraId="26F8E758"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7,5</w:t>
            </w:r>
          </w:p>
        </w:tc>
      </w:tr>
      <w:tr w:rsidR="00D86C20" w:rsidRPr="00F166B5" w14:paraId="32FE3EF2" w14:textId="77777777" w:rsidTr="009B3684">
        <w:trPr>
          <w:trHeight w:hRule="exact" w:val="284"/>
        </w:trPr>
        <w:tc>
          <w:tcPr>
            <w:tcW w:w="2555" w:type="pct"/>
            <w:tcBorders>
              <w:left w:val="double" w:sz="4" w:space="0" w:color="auto"/>
            </w:tcBorders>
          </w:tcPr>
          <w:p w14:paraId="037FB6F0"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5.  Tržnice</w:t>
            </w:r>
          </w:p>
        </w:tc>
        <w:tc>
          <w:tcPr>
            <w:tcW w:w="775" w:type="pct"/>
            <w:vAlign w:val="center"/>
          </w:tcPr>
          <w:p w14:paraId="5599D420"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112.814,39</w:t>
            </w:r>
          </w:p>
        </w:tc>
        <w:tc>
          <w:tcPr>
            <w:tcW w:w="641" w:type="pct"/>
            <w:vAlign w:val="center"/>
          </w:tcPr>
          <w:p w14:paraId="096BBFA5"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116.796,07</w:t>
            </w:r>
          </w:p>
        </w:tc>
        <w:tc>
          <w:tcPr>
            <w:tcW w:w="501" w:type="pct"/>
            <w:vAlign w:val="bottom"/>
          </w:tcPr>
          <w:p w14:paraId="05A3E5A0"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103,5</w:t>
            </w:r>
          </w:p>
        </w:tc>
        <w:tc>
          <w:tcPr>
            <w:tcW w:w="528" w:type="pct"/>
            <w:tcBorders>
              <w:right w:val="double" w:sz="4" w:space="0" w:color="auto"/>
            </w:tcBorders>
            <w:vAlign w:val="bottom"/>
          </w:tcPr>
          <w:p w14:paraId="7BACE5F1"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2,0</w:t>
            </w:r>
          </w:p>
        </w:tc>
      </w:tr>
      <w:tr w:rsidR="00D86C20" w:rsidRPr="00F166B5" w14:paraId="0AD02895" w14:textId="77777777" w:rsidTr="009B3684">
        <w:trPr>
          <w:trHeight w:hRule="exact" w:val="284"/>
        </w:trPr>
        <w:tc>
          <w:tcPr>
            <w:tcW w:w="2555" w:type="pct"/>
            <w:tcBorders>
              <w:left w:val="double" w:sz="4" w:space="0" w:color="auto"/>
            </w:tcBorders>
          </w:tcPr>
          <w:p w14:paraId="5EC18F12"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6.  Usluge bravarske  radione</w:t>
            </w:r>
          </w:p>
        </w:tc>
        <w:tc>
          <w:tcPr>
            <w:tcW w:w="775" w:type="pct"/>
            <w:vAlign w:val="center"/>
          </w:tcPr>
          <w:p w14:paraId="429A987B"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5.308,91</w:t>
            </w:r>
          </w:p>
        </w:tc>
        <w:tc>
          <w:tcPr>
            <w:tcW w:w="641" w:type="pct"/>
            <w:vAlign w:val="center"/>
          </w:tcPr>
          <w:p w14:paraId="3FD87296"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13.935,89</w:t>
            </w:r>
          </w:p>
        </w:tc>
        <w:tc>
          <w:tcPr>
            <w:tcW w:w="501" w:type="pct"/>
            <w:vAlign w:val="bottom"/>
          </w:tcPr>
          <w:p w14:paraId="6DB0BE67"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262,5</w:t>
            </w:r>
          </w:p>
        </w:tc>
        <w:tc>
          <w:tcPr>
            <w:tcW w:w="528" w:type="pct"/>
            <w:tcBorders>
              <w:right w:val="double" w:sz="4" w:space="0" w:color="auto"/>
            </w:tcBorders>
            <w:vAlign w:val="bottom"/>
          </w:tcPr>
          <w:p w14:paraId="3085746C"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0,2</w:t>
            </w:r>
          </w:p>
        </w:tc>
      </w:tr>
      <w:tr w:rsidR="00D86C20" w:rsidRPr="00F166B5" w14:paraId="1815260A" w14:textId="77777777" w:rsidTr="009B3684">
        <w:trPr>
          <w:trHeight w:hRule="exact" w:val="284"/>
        </w:trPr>
        <w:tc>
          <w:tcPr>
            <w:tcW w:w="2555" w:type="pct"/>
            <w:tcBorders>
              <w:left w:val="double" w:sz="4" w:space="0" w:color="auto"/>
            </w:tcBorders>
          </w:tcPr>
          <w:p w14:paraId="6EB18B55"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7.  Održavanje zelenih i javnih površina</w:t>
            </w:r>
          </w:p>
        </w:tc>
        <w:tc>
          <w:tcPr>
            <w:tcW w:w="775" w:type="pct"/>
            <w:vAlign w:val="center"/>
          </w:tcPr>
          <w:p w14:paraId="2C3B265B"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628.442,50</w:t>
            </w:r>
          </w:p>
        </w:tc>
        <w:tc>
          <w:tcPr>
            <w:tcW w:w="641" w:type="pct"/>
            <w:vAlign w:val="center"/>
          </w:tcPr>
          <w:p w14:paraId="743B28E1"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729.975,45</w:t>
            </w:r>
          </w:p>
        </w:tc>
        <w:tc>
          <w:tcPr>
            <w:tcW w:w="501" w:type="pct"/>
            <w:vAlign w:val="bottom"/>
          </w:tcPr>
          <w:p w14:paraId="1C9C25F1"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116,2</w:t>
            </w:r>
          </w:p>
        </w:tc>
        <w:tc>
          <w:tcPr>
            <w:tcW w:w="528" w:type="pct"/>
            <w:tcBorders>
              <w:right w:val="double" w:sz="4" w:space="0" w:color="auto"/>
            </w:tcBorders>
            <w:vAlign w:val="bottom"/>
          </w:tcPr>
          <w:p w14:paraId="2D685F1A"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12,5</w:t>
            </w:r>
          </w:p>
        </w:tc>
      </w:tr>
      <w:tr w:rsidR="00D86C20" w:rsidRPr="00F166B5" w14:paraId="1466410A" w14:textId="77777777" w:rsidTr="009B3684">
        <w:trPr>
          <w:trHeight w:hRule="exact" w:val="284"/>
        </w:trPr>
        <w:tc>
          <w:tcPr>
            <w:tcW w:w="2555" w:type="pct"/>
            <w:tcBorders>
              <w:left w:val="double" w:sz="4" w:space="0" w:color="auto"/>
            </w:tcBorders>
          </w:tcPr>
          <w:p w14:paraId="7E610CF2" w14:textId="0B8D6F76" w:rsidR="00D86C20" w:rsidRPr="00CA4774" w:rsidRDefault="00D86C20" w:rsidP="009100D3">
            <w:pPr>
              <w:spacing w:after="0" w:line="276" w:lineRule="auto"/>
              <w:rPr>
                <w:rFonts w:ascii="Times New Roman" w:hAnsi="Times New Roman" w:cs="Times New Roman"/>
                <w:sz w:val="18"/>
                <w:szCs w:val="18"/>
              </w:rPr>
            </w:pPr>
            <w:r w:rsidRPr="00CA4774">
              <w:rPr>
                <w:rFonts w:ascii="Times New Roman" w:hAnsi="Times New Roman" w:cs="Times New Roman"/>
                <w:sz w:val="18"/>
                <w:szCs w:val="18"/>
              </w:rPr>
              <w:t xml:space="preserve">  </w:t>
            </w:r>
            <w:r w:rsidR="006C49FE" w:rsidRPr="00CA4774">
              <w:rPr>
                <w:rFonts w:ascii="Times New Roman" w:hAnsi="Times New Roman" w:cs="Times New Roman"/>
                <w:sz w:val="18"/>
                <w:szCs w:val="18"/>
              </w:rPr>
              <w:t xml:space="preserve"> </w:t>
            </w:r>
            <w:r w:rsidRPr="00CA4774">
              <w:rPr>
                <w:rFonts w:ascii="Times New Roman" w:hAnsi="Times New Roman" w:cs="Times New Roman"/>
                <w:sz w:val="18"/>
                <w:szCs w:val="18"/>
              </w:rPr>
              <w:t>a) iz  Proračuna Grada – održavanje javnog zelenila Grada</w:t>
            </w:r>
          </w:p>
        </w:tc>
        <w:tc>
          <w:tcPr>
            <w:tcW w:w="775" w:type="pct"/>
            <w:vAlign w:val="center"/>
          </w:tcPr>
          <w:p w14:paraId="6C3A8C68"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508.301,81</w:t>
            </w:r>
          </w:p>
        </w:tc>
        <w:tc>
          <w:tcPr>
            <w:tcW w:w="641" w:type="pct"/>
            <w:vAlign w:val="center"/>
          </w:tcPr>
          <w:p w14:paraId="1D297296"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537.017,92</w:t>
            </w:r>
          </w:p>
        </w:tc>
        <w:tc>
          <w:tcPr>
            <w:tcW w:w="501" w:type="pct"/>
            <w:vAlign w:val="bottom"/>
          </w:tcPr>
          <w:p w14:paraId="5A1DA142"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105,6</w:t>
            </w:r>
          </w:p>
        </w:tc>
        <w:tc>
          <w:tcPr>
            <w:tcW w:w="528" w:type="pct"/>
            <w:tcBorders>
              <w:right w:val="double" w:sz="4" w:space="0" w:color="auto"/>
            </w:tcBorders>
            <w:vAlign w:val="bottom"/>
          </w:tcPr>
          <w:p w14:paraId="3DC046BB"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9,2</w:t>
            </w:r>
          </w:p>
        </w:tc>
      </w:tr>
      <w:tr w:rsidR="00D86C20" w:rsidRPr="00F166B5" w14:paraId="3D17E653" w14:textId="77777777" w:rsidTr="009B3684">
        <w:trPr>
          <w:trHeight w:hRule="exact" w:val="556"/>
        </w:trPr>
        <w:tc>
          <w:tcPr>
            <w:tcW w:w="2555" w:type="pct"/>
            <w:tcBorders>
              <w:left w:val="double" w:sz="4" w:space="0" w:color="auto"/>
            </w:tcBorders>
          </w:tcPr>
          <w:p w14:paraId="31D9CC97" w14:textId="784B3C2F" w:rsidR="00D86C20" w:rsidRPr="00CA4774" w:rsidRDefault="00D86C20" w:rsidP="009100D3">
            <w:pPr>
              <w:spacing w:after="0" w:line="276" w:lineRule="auto"/>
              <w:rPr>
                <w:rFonts w:ascii="Times New Roman" w:hAnsi="Times New Roman" w:cs="Times New Roman"/>
                <w:sz w:val="18"/>
                <w:szCs w:val="18"/>
              </w:rPr>
            </w:pPr>
            <w:r w:rsidRPr="00CA4774">
              <w:rPr>
                <w:rFonts w:ascii="Times New Roman" w:hAnsi="Times New Roman" w:cs="Times New Roman"/>
                <w:sz w:val="18"/>
                <w:szCs w:val="18"/>
              </w:rPr>
              <w:t xml:space="preserve">   b) iz proračuna Grada</w:t>
            </w:r>
            <w:r w:rsidR="00F2349C" w:rsidRPr="00CA4774">
              <w:rPr>
                <w:rFonts w:ascii="Times New Roman" w:hAnsi="Times New Roman" w:cs="Times New Roman"/>
                <w:sz w:val="18"/>
                <w:szCs w:val="18"/>
              </w:rPr>
              <w:t xml:space="preserve"> - </w:t>
            </w:r>
            <w:r w:rsidRPr="00CA4774">
              <w:rPr>
                <w:rFonts w:ascii="Times New Roman" w:hAnsi="Times New Roman" w:cs="Times New Roman"/>
                <w:sz w:val="18"/>
                <w:szCs w:val="18"/>
              </w:rPr>
              <w:t xml:space="preserve">održavanje zelenila u Perivoju </w:t>
            </w:r>
            <w:r w:rsidR="00F2349C" w:rsidRPr="00CA4774">
              <w:rPr>
                <w:rFonts w:ascii="Times New Roman" w:hAnsi="Times New Roman" w:cs="Times New Roman"/>
                <w:sz w:val="18"/>
                <w:szCs w:val="18"/>
              </w:rPr>
              <w:t xml:space="preserve">                </w:t>
            </w:r>
            <w:r w:rsidRPr="00CA4774">
              <w:rPr>
                <w:rFonts w:ascii="Times New Roman" w:hAnsi="Times New Roman" w:cs="Times New Roman"/>
                <w:sz w:val="18"/>
                <w:szCs w:val="18"/>
              </w:rPr>
              <w:t>Zrinski</w:t>
            </w:r>
          </w:p>
        </w:tc>
        <w:tc>
          <w:tcPr>
            <w:tcW w:w="775" w:type="pct"/>
            <w:vAlign w:val="center"/>
          </w:tcPr>
          <w:p w14:paraId="0B8A79ED"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65.034,18</w:t>
            </w:r>
          </w:p>
        </w:tc>
        <w:tc>
          <w:tcPr>
            <w:tcW w:w="641" w:type="pct"/>
            <w:vAlign w:val="center"/>
          </w:tcPr>
          <w:p w14:paraId="5A742DFF" w14:textId="77777777" w:rsidR="00D86C20" w:rsidRPr="00CA4774" w:rsidRDefault="00D86C20" w:rsidP="00F2349C">
            <w:pPr>
              <w:spacing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79.944,06</w:t>
            </w:r>
          </w:p>
        </w:tc>
        <w:tc>
          <w:tcPr>
            <w:tcW w:w="501" w:type="pct"/>
            <w:vAlign w:val="bottom"/>
          </w:tcPr>
          <w:p w14:paraId="3615729E"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122,9</w:t>
            </w:r>
          </w:p>
        </w:tc>
        <w:tc>
          <w:tcPr>
            <w:tcW w:w="528" w:type="pct"/>
            <w:tcBorders>
              <w:right w:val="double" w:sz="4" w:space="0" w:color="auto"/>
            </w:tcBorders>
            <w:vAlign w:val="bottom"/>
          </w:tcPr>
          <w:p w14:paraId="6FDAEF36"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1,3</w:t>
            </w:r>
          </w:p>
        </w:tc>
      </w:tr>
      <w:tr w:rsidR="00D86C20" w:rsidRPr="00F166B5" w14:paraId="5896D064" w14:textId="77777777" w:rsidTr="009B3684">
        <w:trPr>
          <w:trHeight w:hRule="exact" w:val="284"/>
        </w:trPr>
        <w:tc>
          <w:tcPr>
            <w:tcW w:w="2555" w:type="pct"/>
            <w:tcBorders>
              <w:left w:val="double" w:sz="4" w:space="0" w:color="auto"/>
            </w:tcBorders>
          </w:tcPr>
          <w:p w14:paraId="58EBD3CB" w14:textId="7A0DF3B2" w:rsidR="00D86C20" w:rsidRPr="00CA4774" w:rsidRDefault="00D86C20" w:rsidP="009100D3">
            <w:pPr>
              <w:spacing w:after="0" w:line="276" w:lineRule="auto"/>
              <w:rPr>
                <w:rFonts w:ascii="Times New Roman" w:hAnsi="Times New Roman" w:cs="Times New Roman"/>
                <w:sz w:val="18"/>
                <w:szCs w:val="18"/>
              </w:rPr>
            </w:pPr>
            <w:r w:rsidRPr="00CA4774">
              <w:rPr>
                <w:rFonts w:ascii="Times New Roman" w:hAnsi="Times New Roman" w:cs="Times New Roman"/>
                <w:sz w:val="18"/>
                <w:szCs w:val="18"/>
              </w:rPr>
              <w:t xml:space="preserve">   c)  ostali korisnici – u</w:t>
            </w:r>
            <w:r w:rsidR="00B31BB1" w:rsidRPr="00CA4774">
              <w:rPr>
                <w:rFonts w:ascii="Times New Roman" w:hAnsi="Times New Roman" w:cs="Times New Roman"/>
                <w:sz w:val="18"/>
                <w:szCs w:val="18"/>
              </w:rPr>
              <w:t>r</w:t>
            </w:r>
            <w:r w:rsidRPr="00CA4774">
              <w:rPr>
                <w:rFonts w:ascii="Times New Roman" w:hAnsi="Times New Roman" w:cs="Times New Roman"/>
                <w:sz w:val="18"/>
                <w:szCs w:val="18"/>
              </w:rPr>
              <w:t xml:space="preserve">eđenje zelenila </w:t>
            </w:r>
          </w:p>
        </w:tc>
        <w:tc>
          <w:tcPr>
            <w:tcW w:w="775" w:type="pct"/>
            <w:vAlign w:val="center"/>
          </w:tcPr>
          <w:p w14:paraId="6A29042F"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55.106,51</w:t>
            </w:r>
          </w:p>
        </w:tc>
        <w:tc>
          <w:tcPr>
            <w:tcW w:w="641" w:type="pct"/>
            <w:vAlign w:val="center"/>
          </w:tcPr>
          <w:p w14:paraId="42927F6D" w14:textId="77777777" w:rsidR="00D86C20" w:rsidRPr="00CA4774" w:rsidRDefault="00D86C20" w:rsidP="00F2349C">
            <w:pPr>
              <w:spacing w:after="0"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113.013,47</w:t>
            </w:r>
          </w:p>
        </w:tc>
        <w:tc>
          <w:tcPr>
            <w:tcW w:w="501" w:type="pct"/>
            <w:vAlign w:val="bottom"/>
          </w:tcPr>
          <w:p w14:paraId="092F5836"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205,1</w:t>
            </w:r>
          </w:p>
        </w:tc>
        <w:tc>
          <w:tcPr>
            <w:tcW w:w="528" w:type="pct"/>
            <w:tcBorders>
              <w:right w:val="double" w:sz="4" w:space="0" w:color="auto"/>
            </w:tcBorders>
            <w:vAlign w:val="bottom"/>
          </w:tcPr>
          <w:p w14:paraId="7857BA66" w14:textId="77777777" w:rsidR="00D86C20" w:rsidRPr="00CA4774" w:rsidRDefault="00D86C20" w:rsidP="009100D3">
            <w:pPr>
              <w:spacing w:after="0"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2,0</w:t>
            </w:r>
          </w:p>
        </w:tc>
      </w:tr>
      <w:tr w:rsidR="00D86C20" w:rsidRPr="00F166B5" w14:paraId="4009C11C" w14:textId="77777777" w:rsidTr="009B3684">
        <w:trPr>
          <w:trHeight w:hRule="exact" w:val="284"/>
        </w:trPr>
        <w:tc>
          <w:tcPr>
            <w:tcW w:w="2555" w:type="pct"/>
            <w:tcBorders>
              <w:left w:val="double" w:sz="4" w:space="0" w:color="auto"/>
            </w:tcBorders>
          </w:tcPr>
          <w:p w14:paraId="2CC5778D"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8.   Parkirališta</w:t>
            </w:r>
          </w:p>
        </w:tc>
        <w:tc>
          <w:tcPr>
            <w:tcW w:w="775" w:type="pct"/>
            <w:vAlign w:val="center"/>
          </w:tcPr>
          <w:p w14:paraId="2E88334A"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564.071,94</w:t>
            </w:r>
          </w:p>
        </w:tc>
        <w:tc>
          <w:tcPr>
            <w:tcW w:w="641" w:type="pct"/>
            <w:vAlign w:val="center"/>
          </w:tcPr>
          <w:p w14:paraId="3A247A45"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570.708,08</w:t>
            </w:r>
          </w:p>
        </w:tc>
        <w:tc>
          <w:tcPr>
            <w:tcW w:w="501" w:type="pct"/>
            <w:vAlign w:val="bottom"/>
          </w:tcPr>
          <w:p w14:paraId="2473817C"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101,2</w:t>
            </w:r>
          </w:p>
        </w:tc>
        <w:tc>
          <w:tcPr>
            <w:tcW w:w="528" w:type="pct"/>
            <w:tcBorders>
              <w:right w:val="double" w:sz="4" w:space="0" w:color="auto"/>
            </w:tcBorders>
            <w:vAlign w:val="bottom"/>
          </w:tcPr>
          <w:p w14:paraId="7E3B3268"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9,8</w:t>
            </w:r>
          </w:p>
        </w:tc>
      </w:tr>
      <w:tr w:rsidR="00D86C20" w:rsidRPr="00F166B5" w14:paraId="1BF9B9E1" w14:textId="77777777" w:rsidTr="009B3684">
        <w:trPr>
          <w:trHeight w:hRule="exact" w:val="284"/>
        </w:trPr>
        <w:tc>
          <w:tcPr>
            <w:tcW w:w="2555" w:type="pct"/>
            <w:tcBorders>
              <w:left w:val="double" w:sz="4" w:space="0" w:color="auto"/>
            </w:tcBorders>
          </w:tcPr>
          <w:p w14:paraId="5142166E"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9.   Zakup  Visokogradnje</w:t>
            </w:r>
          </w:p>
        </w:tc>
        <w:tc>
          <w:tcPr>
            <w:tcW w:w="775" w:type="pct"/>
            <w:vAlign w:val="center"/>
          </w:tcPr>
          <w:p w14:paraId="6F6349D5"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106.178,25</w:t>
            </w:r>
          </w:p>
        </w:tc>
        <w:tc>
          <w:tcPr>
            <w:tcW w:w="641" w:type="pct"/>
            <w:vAlign w:val="center"/>
          </w:tcPr>
          <w:p w14:paraId="4F146258"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99.542,11</w:t>
            </w:r>
          </w:p>
        </w:tc>
        <w:tc>
          <w:tcPr>
            <w:tcW w:w="501" w:type="pct"/>
            <w:vAlign w:val="bottom"/>
          </w:tcPr>
          <w:p w14:paraId="5C0DAE72"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93,8</w:t>
            </w:r>
          </w:p>
        </w:tc>
        <w:tc>
          <w:tcPr>
            <w:tcW w:w="528" w:type="pct"/>
            <w:tcBorders>
              <w:right w:val="double" w:sz="4" w:space="0" w:color="auto"/>
            </w:tcBorders>
            <w:vAlign w:val="bottom"/>
          </w:tcPr>
          <w:p w14:paraId="13EA3B83"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1,7</w:t>
            </w:r>
          </w:p>
        </w:tc>
      </w:tr>
      <w:tr w:rsidR="00D86C20" w:rsidRPr="00F166B5" w14:paraId="5C53E8E6" w14:textId="77777777" w:rsidTr="009B3684">
        <w:trPr>
          <w:trHeight w:hRule="exact" w:val="284"/>
        </w:trPr>
        <w:tc>
          <w:tcPr>
            <w:tcW w:w="2555" w:type="pct"/>
            <w:tcBorders>
              <w:left w:val="double" w:sz="4" w:space="0" w:color="auto"/>
            </w:tcBorders>
          </w:tcPr>
          <w:p w14:paraId="565CA36F"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10.  Ostale usluge ( najam, prodaja opreme …)</w:t>
            </w:r>
          </w:p>
        </w:tc>
        <w:tc>
          <w:tcPr>
            <w:tcW w:w="775" w:type="pct"/>
            <w:vAlign w:val="center"/>
          </w:tcPr>
          <w:p w14:paraId="3AF6CA18"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13.272,28</w:t>
            </w:r>
          </w:p>
        </w:tc>
        <w:tc>
          <w:tcPr>
            <w:tcW w:w="641" w:type="pct"/>
            <w:vAlign w:val="center"/>
          </w:tcPr>
          <w:p w14:paraId="28B3BC5C"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13.272,28</w:t>
            </w:r>
          </w:p>
        </w:tc>
        <w:tc>
          <w:tcPr>
            <w:tcW w:w="501" w:type="pct"/>
            <w:vAlign w:val="bottom"/>
          </w:tcPr>
          <w:p w14:paraId="124DCD65"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100,0</w:t>
            </w:r>
          </w:p>
        </w:tc>
        <w:tc>
          <w:tcPr>
            <w:tcW w:w="528" w:type="pct"/>
            <w:tcBorders>
              <w:right w:val="double" w:sz="4" w:space="0" w:color="auto"/>
            </w:tcBorders>
            <w:vAlign w:val="bottom"/>
          </w:tcPr>
          <w:p w14:paraId="4DCD6977"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0,2</w:t>
            </w:r>
          </w:p>
        </w:tc>
      </w:tr>
      <w:tr w:rsidR="00D86C20" w:rsidRPr="00F166B5" w14:paraId="7A3408F0" w14:textId="77777777" w:rsidTr="009B3684">
        <w:trPr>
          <w:trHeight w:hRule="exact" w:val="284"/>
        </w:trPr>
        <w:tc>
          <w:tcPr>
            <w:tcW w:w="2555" w:type="pct"/>
            <w:tcBorders>
              <w:left w:val="double" w:sz="4" w:space="0" w:color="auto"/>
            </w:tcBorders>
          </w:tcPr>
          <w:p w14:paraId="1A1AA443"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11.  Financijski prihodi  ( kamate, utuženja …)</w:t>
            </w:r>
          </w:p>
        </w:tc>
        <w:tc>
          <w:tcPr>
            <w:tcW w:w="775" w:type="pct"/>
            <w:vAlign w:val="center"/>
          </w:tcPr>
          <w:p w14:paraId="0B1C569D"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132.722,81</w:t>
            </w:r>
          </w:p>
        </w:tc>
        <w:tc>
          <w:tcPr>
            <w:tcW w:w="641" w:type="pct"/>
            <w:vAlign w:val="center"/>
          </w:tcPr>
          <w:p w14:paraId="59338852" w14:textId="77777777" w:rsidR="00D86C20" w:rsidRPr="00CA4774" w:rsidRDefault="00D86C20" w:rsidP="00F2349C">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132.722,81</w:t>
            </w:r>
          </w:p>
        </w:tc>
        <w:tc>
          <w:tcPr>
            <w:tcW w:w="501" w:type="pct"/>
            <w:vAlign w:val="bottom"/>
          </w:tcPr>
          <w:p w14:paraId="29018FFA"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100,0</w:t>
            </w:r>
          </w:p>
        </w:tc>
        <w:tc>
          <w:tcPr>
            <w:tcW w:w="528" w:type="pct"/>
            <w:tcBorders>
              <w:right w:val="double" w:sz="4" w:space="0" w:color="auto"/>
            </w:tcBorders>
            <w:vAlign w:val="bottom"/>
          </w:tcPr>
          <w:p w14:paraId="3BFD29A9"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2,3</w:t>
            </w:r>
          </w:p>
        </w:tc>
      </w:tr>
      <w:tr w:rsidR="00D86C20" w:rsidRPr="00F166B5" w14:paraId="221A2BB1" w14:textId="77777777" w:rsidTr="009B3684">
        <w:trPr>
          <w:trHeight w:hRule="exact" w:val="284"/>
        </w:trPr>
        <w:tc>
          <w:tcPr>
            <w:tcW w:w="2555" w:type="pct"/>
            <w:tcBorders>
              <w:left w:val="double" w:sz="4" w:space="0" w:color="auto"/>
              <w:bottom w:val="single" w:sz="4" w:space="0" w:color="auto"/>
            </w:tcBorders>
          </w:tcPr>
          <w:p w14:paraId="3947E982"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12.  Izvanredni prihodi</w:t>
            </w:r>
          </w:p>
        </w:tc>
        <w:tc>
          <w:tcPr>
            <w:tcW w:w="775" w:type="pct"/>
            <w:tcBorders>
              <w:bottom w:val="single" w:sz="4" w:space="0" w:color="auto"/>
            </w:tcBorders>
            <w:vAlign w:val="center"/>
          </w:tcPr>
          <w:p w14:paraId="16D5DFB2" w14:textId="77777777" w:rsidR="00D86C20" w:rsidRPr="00CA4774" w:rsidRDefault="00D86C20" w:rsidP="00F2349C">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0,00</w:t>
            </w:r>
          </w:p>
        </w:tc>
        <w:tc>
          <w:tcPr>
            <w:tcW w:w="641" w:type="pct"/>
            <w:tcBorders>
              <w:bottom w:val="single" w:sz="4" w:space="0" w:color="auto"/>
            </w:tcBorders>
            <w:vAlign w:val="center"/>
          </w:tcPr>
          <w:p w14:paraId="25F35D5F" w14:textId="77777777" w:rsidR="00D86C20" w:rsidRPr="00CA4774" w:rsidRDefault="00D86C20" w:rsidP="00F2349C">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0,00</w:t>
            </w:r>
          </w:p>
        </w:tc>
        <w:tc>
          <w:tcPr>
            <w:tcW w:w="501" w:type="pct"/>
            <w:tcBorders>
              <w:bottom w:val="single" w:sz="4" w:space="0" w:color="auto"/>
            </w:tcBorders>
            <w:vAlign w:val="bottom"/>
          </w:tcPr>
          <w:p w14:paraId="0451D7B6" w14:textId="77777777" w:rsidR="00D86C20" w:rsidRPr="00CA4774" w:rsidRDefault="00D86C20" w:rsidP="007427C4">
            <w:pPr>
              <w:spacing w:line="276" w:lineRule="auto"/>
              <w:jc w:val="center"/>
              <w:rPr>
                <w:rFonts w:ascii="Times New Roman" w:hAnsi="Times New Roman" w:cs="Times New Roman"/>
                <w:b/>
                <w:bCs/>
                <w:color w:val="000000"/>
                <w:sz w:val="18"/>
                <w:szCs w:val="18"/>
              </w:rPr>
            </w:pPr>
          </w:p>
        </w:tc>
        <w:tc>
          <w:tcPr>
            <w:tcW w:w="528" w:type="pct"/>
            <w:tcBorders>
              <w:bottom w:val="single" w:sz="4" w:space="0" w:color="auto"/>
              <w:right w:val="double" w:sz="4" w:space="0" w:color="auto"/>
            </w:tcBorders>
            <w:vAlign w:val="bottom"/>
          </w:tcPr>
          <w:p w14:paraId="52CD1E8F" w14:textId="77777777" w:rsidR="00D86C20" w:rsidRPr="00CA4774" w:rsidRDefault="00D86C20" w:rsidP="007427C4">
            <w:pPr>
              <w:spacing w:line="276" w:lineRule="auto"/>
              <w:jc w:val="center"/>
              <w:rPr>
                <w:rFonts w:ascii="Times New Roman" w:hAnsi="Times New Roman" w:cs="Times New Roman"/>
                <w:b/>
                <w:bCs/>
                <w:color w:val="000000"/>
                <w:sz w:val="18"/>
                <w:szCs w:val="18"/>
              </w:rPr>
            </w:pPr>
          </w:p>
        </w:tc>
      </w:tr>
      <w:tr w:rsidR="00D86C20" w:rsidRPr="00F166B5" w14:paraId="43805B21" w14:textId="77777777" w:rsidTr="009B3684">
        <w:trPr>
          <w:trHeight w:hRule="exact" w:val="574"/>
        </w:trPr>
        <w:tc>
          <w:tcPr>
            <w:tcW w:w="2555" w:type="pct"/>
            <w:tcBorders>
              <w:left w:val="double" w:sz="4" w:space="0" w:color="auto"/>
            </w:tcBorders>
            <w:vAlign w:val="center"/>
          </w:tcPr>
          <w:p w14:paraId="7C330D89" w14:textId="38B041B9" w:rsidR="00D86C20" w:rsidRPr="00CA4774" w:rsidRDefault="00D86C20" w:rsidP="005F1926">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PRIHODI OD POSLOVANJA  UKUPNO:</w:t>
            </w:r>
          </w:p>
        </w:tc>
        <w:tc>
          <w:tcPr>
            <w:tcW w:w="775" w:type="pct"/>
            <w:vAlign w:val="center"/>
          </w:tcPr>
          <w:p w14:paraId="4D9B2ADE" w14:textId="115F69ED" w:rsidR="00D86C20" w:rsidRPr="00CA4774" w:rsidRDefault="00D86C20" w:rsidP="005F1926">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5.305.328,82</w:t>
            </w:r>
          </w:p>
        </w:tc>
        <w:tc>
          <w:tcPr>
            <w:tcW w:w="641" w:type="pct"/>
            <w:vAlign w:val="center"/>
          </w:tcPr>
          <w:p w14:paraId="54C86847" w14:textId="0FCC1EBE" w:rsidR="00D86C20" w:rsidRPr="00CA4774" w:rsidRDefault="00D86C20" w:rsidP="005F1926">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5.827.297,40</w:t>
            </w:r>
          </w:p>
        </w:tc>
        <w:tc>
          <w:tcPr>
            <w:tcW w:w="501" w:type="pct"/>
            <w:vAlign w:val="center"/>
          </w:tcPr>
          <w:p w14:paraId="27555FA2" w14:textId="0F713C69" w:rsidR="00D86C20" w:rsidRPr="00CA4774" w:rsidRDefault="00D86C20" w:rsidP="005F1926">
            <w:pPr>
              <w:spacing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109,8</w:t>
            </w:r>
          </w:p>
        </w:tc>
        <w:tc>
          <w:tcPr>
            <w:tcW w:w="528" w:type="pct"/>
            <w:tcBorders>
              <w:right w:val="double" w:sz="4" w:space="0" w:color="auto"/>
            </w:tcBorders>
            <w:vAlign w:val="center"/>
          </w:tcPr>
          <w:p w14:paraId="11429CA7" w14:textId="2AED6B83" w:rsidR="00D86C20" w:rsidRPr="00CA4774" w:rsidRDefault="00D86C20" w:rsidP="005F1926">
            <w:pPr>
              <w:spacing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100,0</w:t>
            </w:r>
          </w:p>
        </w:tc>
      </w:tr>
      <w:tr w:rsidR="00D86C20" w:rsidRPr="00F166B5" w14:paraId="76A9BB27" w14:textId="77777777" w:rsidTr="009B3684">
        <w:trPr>
          <w:trHeight w:hRule="exact" w:val="284"/>
        </w:trPr>
        <w:tc>
          <w:tcPr>
            <w:tcW w:w="2555" w:type="pct"/>
            <w:tcBorders>
              <w:left w:val="double" w:sz="4" w:space="0" w:color="auto"/>
            </w:tcBorders>
          </w:tcPr>
          <w:p w14:paraId="2E34DE20" w14:textId="19E145CE"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13. Investicije u zaštitu okoliša</w:t>
            </w:r>
          </w:p>
        </w:tc>
        <w:tc>
          <w:tcPr>
            <w:tcW w:w="775" w:type="pct"/>
            <w:vAlign w:val="center"/>
          </w:tcPr>
          <w:p w14:paraId="3D3A42FF" w14:textId="77777777" w:rsidR="00D86C20" w:rsidRPr="00CA4774" w:rsidRDefault="00D86C20" w:rsidP="007427C4">
            <w:pPr>
              <w:spacing w:line="276" w:lineRule="auto"/>
              <w:jc w:val="right"/>
              <w:rPr>
                <w:rFonts w:ascii="Times New Roman" w:hAnsi="Times New Roman" w:cs="Times New Roman"/>
                <w:b/>
                <w:sz w:val="18"/>
                <w:szCs w:val="18"/>
              </w:rPr>
            </w:pPr>
          </w:p>
        </w:tc>
        <w:tc>
          <w:tcPr>
            <w:tcW w:w="641" w:type="pct"/>
            <w:vAlign w:val="center"/>
          </w:tcPr>
          <w:p w14:paraId="7F291483" w14:textId="77777777" w:rsidR="00D86C20" w:rsidRPr="00CA4774" w:rsidRDefault="00D86C20" w:rsidP="007427C4">
            <w:pPr>
              <w:spacing w:line="276" w:lineRule="auto"/>
              <w:jc w:val="right"/>
              <w:rPr>
                <w:rFonts w:ascii="Times New Roman" w:hAnsi="Times New Roman" w:cs="Times New Roman"/>
                <w:b/>
                <w:sz w:val="18"/>
                <w:szCs w:val="18"/>
              </w:rPr>
            </w:pPr>
          </w:p>
        </w:tc>
        <w:tc>
          <w:tcPr>
            <w:tcW w:w="501" w:type="pct"/>
            <w:vAlign w:val="center"/>
          </w:tcPr>
          <w:p w14:paraId="6604EAA9" w14:textId="77777777" w:rsidR="00D86C20" w:rsidRPr="00CA4774" w:rsidRDefault="00D86C20" w:rsidP="007427C4">
            <w:pPr>
              <w:spacing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w:t>
            </w:r>
          </w:p>
        </w:tc>
        <w:tc>
          <w:tcPr>
            <w:tcW w:w="528" w:type="pct"/>
            <w:tcBorders>
              <w:right w:val="double" w:sz="4" w:space="0" w:color="auto"/>
            </w:tcBorders>
            <w:vAlign w:val="center"/>
          </w:tcPr>
          <w:p w14:paraId="65AB4603" w14:textId="77777777" w:rsidR="00D86C20" w:rsidRPr="00CA4774" w:rsidRDefault="00D86C20" w:rsidP="007427C4">
            <w:pPr>
              <w:spacing w:line="276" w:lineRule="auto"/>
              <w:jc w:val="center"/>
              <w:rPr>
                <w:rFonts w:ascii="Times New Roman" w:hAnsi="Times New Roman" w:cs="Times New Roman"/>
                <w:b/>
                <w:sz w:val="18"/>
                <w:szCs w:val="18"/>
              </w:rPr>
            </w:pPr>
          </w:p>
        </w:tc>
      </w:tr>
      <w:tr w:rsidR="00D86C20" w:rsidRPr="00F166B5" w14:paraId="1A6977E5" w14:textId="77777777" w:rsidTr="00CF5682">
        <w:trPr>
          <w:cantSplit/>
        </w:trPr>
        <w:tc>
          <w:tcPr>
            <w:tcW w:w="2555" w:type="pct"/>
            <w:vMerge w:val="restart"/>
            <w:tcBorders>
              <w:top w:val="nil"/>
              <w:left w:val="nil"/>
              <w:right w:val="double" w:sz="4" w:space="0" w:color="auto"/>
            </w:tcBorders>
          </w:tcPr>
          <w:p w14:paraId="387F457D" w14:textId="2690697D" w:rsidR="001732F7" w:rsidRPr="00F166B5" w:rsidRDefault="001732F7" w:rsidP="0014580E">
            <w:pPr>
              <w:spacing w:after="0" w:line="276" w:lineRule="auto"/>
              <w:rPr>
                <w:rFonts w:ascii="Calibri" w:hAnsi="Calibri"/>
                <w:sz w:val="18"/>
                <w:szCs w:val="18"/>
              </w:rPr>
            </w:pPr>
          </w:p>
        </w:tc>
        <w:tc>
          <w:tcPr>
            <w:tcW w:w="775" w:type="pct"/>
            <w:tcBorders>
              <w:top w:val="double" w:sz="4" w:space="0" w:color="auto"/>
              <w:left w:val="double" w:sz="4" w:space="0" w:color="auto"/>
            </w:tcBorders>
            <w:shd w:val="clear" w:color="auto" w:fill="A8D08D" w:themeFill="accent6" w:themeFillTint="99"/>
            <w:vAlign w:val="center"/>
          </w:tcPr>
          <w:p w14:paraId="0599A2BB" w14:textId="77777777" w:rsidR="00D86C20" w:rsidRPr="00CA4774" w:rsidRDefault="00D86C20" w:rsidP="0014580E">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OSTVARENJE  2022.*</w:t>
            </w:r>
          </w:p>
          <w:p w14:paraId="72049CFF" w14:textId="77777777" w:rsidR="00D86C20" w:rsidRPr="00CA4774" w:rsidRDefault="00D86C20" w:rsidP="0014580E">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01.01.  -  31.12.  €</w:t>
            </w:r>
          </w:p>
        </w:tc>
        <w:tc>
          <w:tcPr>
            <w:tcW w:w="641" w:type="pct"/>
            <w:tcBorders>
              <w:top w:val="double" w:sz="4" w:space="0" w:color="auto"/>
            </w:tcBorders>
            <w:shd w:val="clear" w:color="auto" w:fill="A8D08D" w:themeFill="accent6" w:themeFillTint="99"/>
          </w:tcPr>
          <w:p w14:paraId="3607E443" w14:textId="77777777" w:rsidR="00D86C20" w:rsidRPr="00CA4774" w:rsidRDefault="00D86C20" w:rsidP="00CF5682">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PLAN</w:t>
            </w:r>
          </w:p>
          <w:p w14:paraId="67CCC178" w14:textId="77777777" w:rsidR="00D86C20" w:rsidRPr="00CA4774" w:rsidRDefault="00D86C20" w:rsidP="00CF5682">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2023.g.</w:t>
            </w:r>
          </w:p>
          <w:p w14:paraId="3526FE59" w14:textId="6CCF54B6" w:rsidR="00D86C20" w:rsidRPr="00CA4774" w:rsidRDefault="00D86C20" w:rsidP="00CF5682">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w:t>
            </w:r>
          </w:p>
        </w:tc>
        <w:tc>
          <w:tcPr>
            <w:tcW w:w="501" w:type="pct"/>
            <w:tcBorders>
              <w:top w:val="double" w:sz="4" w:space="0" w:color="auto"/>
            </w:tcBorders>
            <w:shd w:val="clear" w:color="auto" w:fill="A8D08D" w:themeFill="accent6" w:themeFillTint="99"/>
          </w:tcPr>
          <w:p w14:paraId="33F8696F" w14:textId="77777777" w:rsidR="00D86C20" w:rsidRPr="00CA4774" w:rsidRDefault="00D86C20" w:rsidP="0014580E">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INDEKS</w:t>
            </w:r>
          </w:p>
          <w:p w14:paraId="5BF19DA4" w14:textId="3E2D1A4E" w:rsidR="00D86C20" w:rsidRPr="00CA4774" w:rsidRDefault="00D86C20" w:rsidP="0014580E">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2</w:t>
            </w:r>
            <w:r w:rsidR="00B31BB1" w:rsidRPr="00CA4774">
              <w:rPr>
                <w:rFonts w:ascii="Times New Roman" w:hAnsi="Times New Roman" w:cs="Times New Roman"/>
                <w:b/>
                <w:sz w:val="18"/>
                <w:szCs w:val="18"/>
              </w:rPr>
              <w:t>:1</w:t>
            </w:r>
          </w:p>
        </w:tc>
        <w:tc>
          <w:tcPr>
            <w:tcW w:w="528" w:type="pct"/>
            <w:tcBorders>
              <w:top w:val="double" w:sz="4" w:space="0" w:color="auto"/>
              <w:right w:val="double" w:sz="4" w:space="0" w:color="auto"/>
            </w:tcBorders>
            <w:shd w:val="clear" w:color="auto" w:fill="A8D08D" w:themeFill="accent6" w:themeFillTint="99"/>
          </w:tcPr>
          <w:p w14:paraId="5F398002" w14:textId="10CEE90D" w:rsidR="00D86C20" w:rsidRPr="00CA4774" w:rsidRDefault="00D86C20" w:rsidP="00CF5682">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w:t>
            </w:r>
          </w:p>
          <w:p w14:paraId="3BF0A7FD" w14:textId="77777777" w:rsidR="00D86C20" w:rsidRPr="00CA4774" w:rsidRDefault="00D86C20" w:rsidP="00CF5682">
            <w:pPr>
              <w:spacing w:after="0"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UČEŠĆA</w:t>
            </w:r>
          </w:p>
        </w:tc>
      </w:tr>
      <w:tr w:rsidR="00D86C20" w:rsidRPr="00F166B5" w14:paraId="1BBE6BD8" w14:textId="77777777" w:rsidTr="009B3684">
        <w:trPr>
          <w:cantSplit/>
          <w:trHeight w:hRule="exact" w:val="247"/>
        </w:trPr>
        <w:tc>
          <w:tcPr>
            <w:tcW w:w="2555" w:type="pct"/>
            <w:vMerge/>
            <w:tcBorders>
              <w:left w:val="nil"/>
              <w:bottom w:val="double" w:sz="4" w:space="0" w:color="auto"/>
              <w:right w:val="double" w:sz="4" w:space="0" w:color="auto"/>
            </w:tcBorders>
          </w:tcPr>
          <w:p w14:paraId="5B293DA5" w14:textId="77777777" w:rsidR="00D86C20" w:rsidRPr="00F166B5" w:rsidRDefault="00D86C20" w:rsidP="007427C4">
            <w:pPr>
              <w:spacing w:line="276" w:lineRule="auto"/>
              <w:rPr>
                <w:rFonts w:ascii="Calibri" w:hAnsi="Calibri"/>
                <w:sz w:val="18"/>
                <w:szCs w:val="18"/>
              </w:rPr>
            </w:pPr>
          </w:p>
        </w:tc>
        <w:tc>
          <w:tcPr>
            <w:tcW w:w="775" w:type="pct"/>
            <w:tcBorders>
              <w:left w:val="double" w:sz="4" w:space="0" w:color="auto"/>
              <w:bottom w:val="double" w:sz="4" w:space="0" w:color="auto"/>
            </w:tcBorders>
            <w:shd w:val="clear" w:color="auto" w:fill="A8D08D" w:themeFill="accent6" w:themeFillTint="99"/>
            <w:vAlign w:val="center"/>
          </w:tcPr>
          <w:p w14:paraId="582EB849" w14:textId="77777777" w:rsidR="00D86C20" w:rsidRPr="00CA4774" w:rsidRDefault="00D86C20" w:rsidP="007427C4">
            <w:pPr>
              <w:spacing w:line="276" w:lineRule="auto"/>
              <w:jc w:val="center"/>
              <w:rPr>
                <w:rFonts w:ascii="Times New Roman" w:hAnsi="Times New Roman" w:cs="Times New Roman"/>
                <w:sz w:val="18"/>
                <w:szCs w:val="18"/>
              </w:rPr>
            </w:pPr>
            <w:r w:rsidRPr="00CA4774">
              <w:rPr>
                <w:rFonts w:ascii="Times New Roman" w:hAnsi="Times New Roman" w:cs="Times New Roman"/>
                <w:sz w:val="18"/>
                <w:szCs w:val="18"/>
              </w:rPr>
              <w:t>1</w:t>
            </w:r>
          </w:p>
        </w:tc>
        <w:tc>
          <w:tcPr>
            <w:tcW w:w="641" w:type="pct"/>
            <w:tcBorders>
              <w:bottom w:val="double" w:sz="4" w:space="0" w:color="auto"/>
            </w:tcBorders>
            <w:shd w:val="clear" w:color="auto" w:fill="A8D08D" w:themeFill="accent6" w:themeFillTint="99"/>
            <w:vAlign w:val="center"/>
          </w:tcPr>
          <w:p w14:paraId="13609E17" w14:textId="77777777" w:rsidR="00D86C20" w:rsidRPr="00CA4774" w:rsidRDefault="00D86C20" w:rsidP="007427C4">
            <w:pPr>
              <w:spacing w:line="276" w:lineRule="auto"/>
              <w:jc w:val="center"/>
              <w:rPr>
                <w:rFonts w:ascii="Times New Roman" w:hAnsi="Times New Roman" w:cs="Times New Roman"/>
                <w:sz w:val="18"/>
                <w:szCs w:val="18"/>
              </w:rPr>
            </w:pPr>
            <w:r w:rsidRPr="00CA4774">
              <w:rPr>
                <w:rFonts w:ascii="Times New Roman" w:hAnsi="Times New Roman" w:cs="Times New Roman"/>
                <w:sz w:val="18"/>
                <w:szCs w:val="18"/>
              </w:rPr>
              <w:t>2</w:t>
            </w:r>
          </w:p>
        </w:tc>
        <w:tc>
          <w:tcPr>
            <w:tcW w:w="501" w:type="pct"/>
            <w:tcBorders>
              <w:bottom w:val="double" w:sz="4" w:space="0" w:color="auto"/>
            </w:tcBorders>
            <w:shd w:val="clear" w:color="auto" w:fill="A8D08D" w:themeFill="accent6" w:themeFillTint="99"/>
          </w:tcPr>
          <w:p w14:paraId="7C9D9C76" w14:textId="77777777" w:rsidR="00D86C20" w:rsidRPr="00CA4774" w:rsidRDefault="00D86C20" w:rsidP="007427C4">
            <w:pPr>
              <w:spacing w:line="276" w:lineRule="auto"/>
              <w:jc w:val="center"/>
              <w:rPr>
                <w:rFonts w:ascii="Times New Roman" w:hAnsi="Times New Roman" w:cs="Times New Roman"/>
                <w:sz w:val="18"/>
                <w:szCs w:val="18"/>
              </w:rPr>
            </w:pPr>
            <w:r w:rsidRPr="00CA4774">
              <w:rPr>
                <w:rFonts w:ascii="Times New Roman" w:hAnsi="Times New Roman" w:cs="Times New Roman"/>
                <w:sz w:val="18"/>
                <w:szCs w:val="18"/>
              </w:rPr>
              <w:t>3</w:t>
            </w:r>
          </w:p>
        </w:tc>
        <w:tc>
          <w:tcPr>
            <w:tcW w:w="528" w:type="pct"/>
            <w:tcBorders>
              <w:bottom w:val="double" w:sz="4" w:space="0" w:color="auto"/>
              <w:right w:val="double" w:sz="4" w:space="0" w:color="auto"/>
            </w:tcBorders>
            <w:shd w:val="clear" w:color="auto" w:fill="A8D08D" w:themeFill="accent6" w:themeFillTint="99"/>
            <w:vAlign w:val="center"/>
          </w:tcPr>
          <w:p w14:paraId="45885F57" w14:textId="77777777" w:rsidR="00D86C20" w:rsidRPr="00CA4774" w:rsidRDefault="00D86C20" w:rsidP="007427C4">
            <w:pPr>
              <w:spacing w:line="276" w:lineRule="auto"/>
              <w:jc w:val="center"/>
              <w:rPr>
                <w:rFonts w:ascii="Times New Roman" w:hAnsi="Times New Roman" w:cs="Times New Roman"/>
                <w:sz w:val="18"/>
                <w:szCs w:val="18"/>
              </w:rPr>
            </w:pPr>
            <w:r w:rsidRPr="00CA4774">
              <w:rPr>
                <w:rFonts w:ascii="Times New Roman" w:hAnsi="Times New Roman" w:cs="Times New Roman"/>
                <w:sz w:val="18"/>
                <w:szCs w:val="18"/>
              </w:rPr>
              <w:t>4</w:t>
            </w:r>
          </w:p>
        </w:tc>
      </w:tr>
      <w:tr w:rsidR="00D86C20" w:rsidRPr="00CA4774" w14:paraId="470404C7" w14:textId="77777777" w:rsidTr="009B3684">
        <w:trPr>
          <w:trHeight w:val="294"/>
        </w:trPr>
        <w:tc>
          <w:tcPr>
            <w:tcW w:w="2555" w:type="pct"/>
            <w:tcBorders>
              <w:top w:val="double" w:sz="4" w:space="0" w:color="auto"/>
              <w:left w:val="double" w:sz="4" w:space="0" w:color="auto"/>
            </w:tcBorders>
            <w:shd w:val="clear" w:color="auto" w:fill="A8D08D" w:themeFill="accent6" w:themeFillTint="99"/>
          </w:tcPr>
          <w:p w14:paraId="733BEBC6" w14:textId="77777777" w:rsidR="00D86C20" w:rsidRPr="00CA4774" w:rsidRDefault="00D86C20" w:rsidP="007427C4">
            <w:pPr>
              <w:spacing w:line="276" w:lineRule="auto"/>
              <w:rPr>
                <w:rFonts w:ascii="Times New Roman" w:hAnsi="Times New Roman" w:cs="Times New Roman"/>
                <w:b/>
                <w:bCs/>
              </w:rPr>
            </w:pPr>
            <w:r w:rsidRPr="00CA4774">
              <w:rPr>
                <w:rFonts w:ascii="Times New Roman" w:hAnsi="Times New Roman" w:cs="Times New Roman"/>
                <w:b/>
                <w:bCs/>
              </w:rPr>
              <w:t>B)  RASHODI</w:t>
            </w:r>
          </w:p>
        </w:tc>
        <w:tc>
          <w:tcPr>
            <w:tcW w:w="775" w:type="pct"/>
            <w:tcBorders>
              <w:top w:val="double" w:sz="4" w:space="0" w:color="auto"/>
            </w:tcBorders>
            <w:shd w:val="clear" w:color="auto" w:fill="A8D08D" w:themeFill="accent6" w:themeFillTint="99"/>
            <w:vAlign w:val="center"/>
          </w:tcPr>
          <w:p w14:paraId="5CD0EE82" w14:textId="77777777" w:rsidR="00D86C20" w:rsidRPr="00CA4774" w:rsidRDefault="00D86C20" w:rsidP="007427C4">
            <w:pPr>
              <w:spacing w:line="276" w:lineRule="auto"/>
              <w:jc w:val="right"/>
              <w:rPr>
                <w:rFonts w:ascii="Times New Roman" w:hAnsi="Times New Roman" w:cs="Times New Roman"/>
                <w:sz w:val="18"/>
                <w:szCs w:val="18"/>
              </w:rPr>
            </w:pPr>
          </w:p>
        </w:tc>
        <w:tc>
          <w:tcPr>
            <w:tcW w:w="641" w:type="pct"/>
            <w:tcBorders>
              <w:top w:val="double" w:sz="4" w:space="0" w:color="auto"/>
            </w:tcBorders>
            <w:shd w:val="clear" w:color="auto" w:fill="A8D08D" w:themeFill="accent6" w:themeFillTint="99"/>
            <w:vAlign w:val="center"/>
          </w:tcPr>
          <w:p w14:paraId="565ADA80" w14:textId="77777777" w:rsidR="00D86C20" w:rsidRPr="00CA4774" w:rsidRDefault="00D86C20" w:rsidP="007427C4">
            <w:pPr>
              <w:spacing w:line="276" w:lineRule="auto"/>
              <w:jc w:val="center"/>
              <w:rPr>
                <w:rFonts w:ascii="Times New Roman" w:hAnsi="Times New Roman" w:cs="Times New Roman"/>
                <w:sz w:val="18"/>
                <w:szCs w:val="18"/>
              </w:rPr>
            </w:pPr>
          </w:p>
        </w:tc>
        <w:tc>
          <w:tcPr>
            <w:tcW w:w="501" w:type="pct"/>
            <w:tcBorders>
              <w:top w:val="double" w:sz="4" w:space="0" w:color="auto"/>
            </w:tcBorders>
            <w:shd w:val="clear" w:color="auto" w:fill="A8D08D" w:themeFill="accent6" w:themeFillTint="99"/>
          </w:tcPr>
          <w:p w14:paraId="767D4234" w14:textId="77777777" w:rsidR="00D86C20" w:rsidRPr="00CA4774" w:rsidRDefault="00D86C20" w:rsidP="007427C4">
            <w:pPr>
              <w:spacing w:line="276" w:lineRule="auto"/>
              <w:jc w:val="center"/>
              <w:rPr>
                <w:rFonts w:ascii="Times New Roman" w:hAnsi="Times New Roman" w:cs="Times New Roman"/>
                <w:sz w:val="18"/>
                <w:szCs w:val="18"/>
              </w:rPr>
            </w:pPr>
          </w:p>
        </w:tc>
        <w:tc>
          <w:tcPr>
            <w:tcW w:w="528" w:type="pct"/>
            <w:tcBorders>
              <w:top w:val="double" w:sz="4" w:space="0" w:color="auto"/>
              <w:right w:val="double" w:sz="4" w:space="0" w:color="auto"/>
            </w:tcBorders>
            <w:shd w:val="clear" w:color="auto" w:fill="A8D08D" w:themeFill="accent6" w:themeFillTint="99"/>
            <w:vAlign w:val="center"/>
          </w:tcPr>
          <w:p w14:paraId="3E61BFB3" w14:textId="77777777" w:rsidR="00D86C20" w:rsidRPr="00CA4774" w:rsidRDefault="00D86C20" w:rsidP="007427C4">
            <w:pPr>
              <w:spacing w:line="276" w:lineRule="auto"/>
              <w:jc w:val="center"/>
              <w:rPr>
                <w:rFonts w:ascii="Times New Roman" w:hAnsi="Times New Roman" w:cs="Times New Roman"/>
                <w:sz w:val="18"/>
                <w:szCs w:val="18"/>
              </w:rPr>
            </w:pPr>
          </w:p>
        </w:tc>
      </w:tr>
      <w:tr w:rsidR="00D86C20" w:rsidRPr="00CA4774" w14:paraId="0697572A" w14:textId="77777777" w:rsidTr="009B3684">
        <w:trPr>
          <w:trHeight w:hRule="exact" w:val="340"/>
        </w:trPr>
        <w:tc>
          <w:tcPr>
            <w:tcW w:w="2555" w:type="pct"/>
            <w:tcBorders>
              <w:left w:val="double" w:sz="4" w:space="0" w:color="auto"/>
            </w:tcBorders>
          </w:tcPr>
          <w:p w14:paraId="00381C77"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 xml:space="preserve">1.  Materijalni troškovi </w:t>
            </w:r>
          </w:p>
        </w:tc>
        <w:tc>
          <w:tcPr>
            <w:tcW w:w="775" w:type="pct"/>
            <w:vAlign w:val="center"/>
          </w:tcPr>
          <w:p w14:paraId="03A8B05D"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716.703,17</w:t>
            </w:r>
          </w:p>
        </w:tc>
        <w:tc>
          <w:tcPr>
            <w:tcW w:w="641" w:type="pct"/>
            <w:vAlign w:val="center"/>
          </w:tcPr>
          <w:p w14:paraId="79829CED"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776.428,43</w:t>
            </w:r>
          </w:p>
        </w:tc>
        <w:tc>
          <w:tcPr>
            <w:tcW w:w="501" w:type="pct"/>
            <w:vAlign w:val="bottom"/>
          </w:tcPr>
          <w:p w14:paraId="22CB20B4"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108,3</w:t>
            </w:r>
          </w:p>
        </w:tc>
        <w:tc>
          <w:tcPr>
            <w:tcW w:w="528" w:type="pct"/>
            <w:tcBorders>
              <w:right w:val="double" w:sz="4" w:space="0" w:color="auto"/>
            </w:tcBorders>
            <w:vAlign w:val="bottom"/>
          </w:tcPr>
          <w:p w14:paraId="65B25C99"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13,3</w:t>
            </w:r>
          </w:p>
        </w:tc>
      </w:tr>
      <w:tr w:rsidR="00D86C20" w:rsidRPr="00CA4774" w14:paraId="4DBD77F3" w14:textId="77777777" w:rsidTr="009B3684">
        <w:trPr>
          <w:trHeight w:hRule="exact" w:val="516"/>
        </w:trPr>
        <w:tc>
          <w:tcPr>
            <w:tcW w:w="2555" w:type="pct"/>
            <w:tcBorders>
              <w:left w:val="double" w:sz="4" w:space="0" w:color="auto"/>
            </w:tcBorders>
          </w:tcPr>
          <w:p w14:paraId="76F7AA37" w14:textId="11D42876" w:rsidR="00D86C20" w:rsidRPr="00CA4774" w:rsidRDefault="00D86C20" w:rsidP="007427C4">
            <w:pPr>
              <w:spacing w:line="276" w:lineRule="auto"/>
              <w:rPr>
                <w:rFonts w:ascii="Times New Roman" w:hAnsi="Times New Roman" w:cs="Times New Roman"/>
                <w:sz w:val="18"/>
                <w:szCs w:val="18"/>
              </w:rPr>
            </w:pPr>
            <w:r w:rsidRPr="00CA4774">
              <w:rPr>
                <w:rFonts w:ascii="Times New Roman" w:hAnsi="Times New Roman" w:cs="Times New Roman"/>
                <w:sz w:val="18"/>
                <w:szCs w:val="18"/>
              </w:rPr>
              <w:t xml:space="preserve">           a) troškovi materijala, rez</w:t>
            </w:r>
            <w:r w:rsidR="005F1926" w:rsidRPr="00CA4774">
              <w:rPr>
                <w:rFonts w:ascii="Times New Roman" w:hAnsi="Times New Roman" w:cs="Times New Roman"/>
                <w:sz w:val="18"/>
                <w:szCs w:val="18"/>
              </w:rPr>
              <w:t>ervnih</w:t>
            </w:r>
            <w:r w:rsidRPr="00CA4774">
              <w:rPr>
                <w:rFonts w:ascii="Times New Roman" w:hAnsi="Times New Roman" w:cs="Times New Roman"/>
                <w:sz w:val="18"/>
                <w:szCs w:val="18"/>
              </w:rPr>
              <w:t xml:space="preserve"> dijelova, sitni </w:t>
            </w:r>
            <w:r w:rsidR="00654622" w:rsidRPr="00CA4774">
              <w:rPr>
                <w:rFonts w:ascii="Times New Roman" w:hAnsi="Times New Roman" w:cs="Times New Roman"/>
                <w:sz w:val="18"/>
                <w:szCs w:val="18"/>
              </w:rPr>
              <w:t>inventar</w:t>
            </w:r>
            <w:r w:rsidR="00654622">
              <w:rPr>
                <w:rFonts w:ascii="Times New Roman" w:hAnsi="Times New Roman" w:cs="Times New Roman"/>
                <w:sz w:val="18"/>
                <w:szCs w:val="18"/>
              </w:rPr>
              <w:t xml:space="preserve">  </w:t>
            </w:r>
          </w:p>
        </w:tc>
        <w:tc>
          <w:tcPr>
            <w:tcW w:w="775" w:type="pct"/>
            <w:vAlign w:val="center"/>
          </w:tcPr>
          <w:p w14:paraId="1649F685" w14:textId="77777777" w:rsidR="00D86C20" w:rsidRPr="00CA4774" w:rsidRDefault="00D86C20" w:rsidP="007427C4">
            <w:pPr>
              <w:spacing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309.244,14</w:t>
            </w:r>
          </w:p>
        </w:tc>
        <w:tc>
          <w:tcPr>
            <w:tcW w:w="641" w:type="pct"/>
            <w:vAlign w:val="center"/>
          </w:tcPr>
          <w:p w14:paraId="2E830D95" w14:textId="77777777" w:rsidR="00D86C20" w:rsidRPr="00CA4774" w:rsidRDefault="00D86C20" w:rsidP="007427C4">
            <w:pPr>
              <w:spacing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331.807,02</w:t>
            </w:r>
          </w:p>
        </w:tc>
        <w:tc>
          <w:tcPr>
            <w:tcW w:w="501" w:type="pct"/>
            <w:vAlign w:val="bottom"/>
          </w:tcPr>
          <w:p w14:paraId="74ACC89E"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107,3</w:t>
            </w:r>
          </w:p>
        </w:tc>
        <w:tc>
          <w:tcPr>
            <w:tcW w:w="528" w:type="pct"/>
            <w:tcBorders>
              <w:right w:val="double" w:sz="4" w:space="0" w:color="auto"/>
            </w:tcBorders>
            <w:vAlign w:val="bottom"/>
          </w:tcPr>
          <w:p w14:paraId="23995E25"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5,7</w:t>
            </w:r>
          </w:p>
        </w:tc>
      </w:tr>
      <w:tr w:rsidR="00D86C20" w:rsidRPr="00CA4774" w14:paraId="679134AB" w14:textId="77777777" w:rsidTr="009B3684">
        <w:trPr>
          <w:trHeight w:hRule="exact" w:val="340"/>
        </w:trPr>
        <w:tc>
          <w:tcPr>
            <w:tcW w:w="2555" w:type="pct"/>
            <w:tcBorders>
              <w:left w:val="double" w:sz="4" w:space="0" w:color="auto"/>
            </w:tcBorders>
          </w:tcPr>
          <w:p w14:paraId="78AF7C31" w14:textId="77777777" w:rsidR="00D86C20" w:rsidRPr="00CA4774" w:rsidRDefault="00D86C20" w:rsidP="007427C4">
            <w:pPr>
              <w:spacing w:line="276" w:lineRule="auto"/>
              <w:rPr>
                <w:rFonts w:ascii="Times New Roman" w:hAnsi="Times New Roman" w:cs="Times New Roman"/>
                <w:sz w:val="18"/>
                <w:szCs w:val="18"/>
              </w:rPr>
            </w:pPr>
            <w:r w:rsidRPr="00CA4774">
              <w:rPr>
                <w:rFonts w:ascii="Times New Roman" w:hAnsi="Times New Roman" w:cs="Times New Roman"/>
                <w:sz w:val="18"/>
                <w:szCs w:val="18"/>
              </w:rPr>
              <w:t xml:space="preserve">           b) utrošena energija</w:t>
            </w:r>
          </w:p>
        </w:tc>
        <w:tc>
          <w:tcPr>
            <w:tcW w:w="775" w:type="pct"/>
            <w:vAlign w:val="center"/>
          </w:tcPr>
          <w:p w14:paraId="7F3C589C" w14:textId="77777777" w:rsidR="00D86C20" w:rsidRPr="00CA4774" w:rsidRDefault="00D86C20" w:rsidP="007427C4">
            <w:pPr>
              <w:spacing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407.459,02</w:t>
            </w:r>
          </w:p>
        </w:tc>
        <w:tc>
          <w:tcPr>
            <w:tcW w:w="641" w:type="pct"/>
            <w:vAlign w:val="center"/>
          </w:tcPr>
          <w:p w14:paraId="49205FC4" w14:textId="77777777" w:rsidR="00D86C20" w:rsidRPr="00CA4774" w:rsidRDefault="00D86C20" w:rsidP="007427C4">
            <w:pPr>
              <w:spacing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444.621,41</w:t>
            </w:r>
          </w:p>
        </w:tc>
        <w:tc>
          <w:tcPr>
            <w:tcW w:w="501" w:type="pct"/>
            <w:vAlign w:val="bottom"/>
          </w:tcPr>
          <w:p w14:paraId="7A06CF38"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109,1</w:t>
            </w:r>
          </w:p>
        </w:tc>
        <w:tc>
          <w:tcPr>
            <w:tcW w:w="528" w:type="pct"/>
            <w:tcBorders>
              <w:right w:val="double" w:sz="4" w:space="0" w:color="auto"/>
            </w:tcBorders>
            <w:vAlign w:val="bottom"/>
          </w:tcPr>
          <w:p w14:paraId="7248A28F"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7,6</w:t>
            </w:r>
          </w:p>
        </w:tc>
      </w:tr>
      <w:tr w:rsidR="00D86C20" w:rsidRPr="00CA4774" w14:paraId="2EAB571A" w14:textId="77777777" w:rsidTr="009B3684">
        <w:trPr>
          <w:trHeight w:hRule="exact" w:val="340"/>
        </w:trPr>
        <w:tc>
          <w:tcPr>
            <w:tcW w:w="2555" w:type="pct"/>
            <w:tcBorders>
              <w:left w:val="double" w:sz="4" w:space="0" w:color="auto"/>
            </w:tcBorders>
          </w:tcPr>
          <w:p w14:paraId="489E738A"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2.  Troškovi usluga</w:t>
            </w:r>
          </w:p>
        </w:tc>
        <w:tc>
          <w:tcPr>
            <w:tcW w:w="775" w:type="pct"/>
            <w:vAlign w:val="center"/>
          </w:tcPr>
          <w:p w14:paraId="01C352CC"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491.074,39</w:t>
            </w:r>
          </w:p>
        </w:tc>
        <w:tc>
          <w:tcPr>
            <w:tcW w:w="641" w:type="pct"/>
            <w:vAlign w:val="center"/>
          </w:tcPr>
          <w:p w14:paraId="3D4C1189"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530.891,23</w:t>
            </w:r>
          </w:p>
        </w:tc>
        <w:tc>
          <w:tcPr>
            <w:tcW w:w="501" w:type="pct"/>
            <w:vAlign w:val="bottom"/>
          </w:tcPr>
          <w:p w14:paraId="2A497BCE"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108,1</w:t>
            </w:r>
          </w:p>
        </w:tc>
        <w:tc>
          <w:tcPr>
            <w:tcW w:w="528" w:type="pct"/>
            <w:tcBorders>
              <w:right w:val="double" w:sz="4" w:space="0" w:color="auto"/>
            </w:tcBorders>
            <w:vAlign w:val="bottom"/>
          </w:tcPr>
          <w:p w14:paraId="601F5FCE"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9,1</w:t>
            </w:r>
          </w:p>
        </w:tc>
      </w:tr>
      <w:tr w:rsidR="00D86C20" w:rsidRPr="00CA4774" w14:paraId="2126DEC4" w14:textId="77777777" w:rsidTr="009B3684">
        <w:trPr>
          <w:trHeight w:hRule="exact" w:val="340"/>
        </w:trPr>
        <w:tc>
          <w:tcPr>
            <w:tcW w:w="2555" w:type="pct"/>
            <w:tcBorders>
              <w:left w:val="double" w:sz="4" w:space="0" w:color="auto"/>
            </w:tcBorders>
          </w:tcPr>
          <w:p w14:paraId="7E393E2F" w14:textId="77777777" w:rsidR="00D86C20" w:rsidRPr="00CA4774" w:rsidRDefault="00D86C20" w:rsidP="007427C4">
            <w:pPr>
              <w:spacing w:line="276" w:lineRule="auto"/>
              <w:rPr>
                <w:rFonts w:ascii="Times New Roman" w:hAnsi="Times New Roman" w:cs="Times New Roman"/>
                <w:sz w:val="18"/>
                <w:szCs w:val="18"/>
              </w:rPr>
            </w:pPr>
            <w:r w:rsidRPr="00CA4774">
              <w:rPr>
                <w:rFonts w:ascii="Times New Roman" w:hAnsi="Times New Roman" w:cs="Times New Roman"/>
                <w:sz w:val="18"/>
                <w:szCs w:val="18"/>
              </w:rPr>
              <w:t xml:space="preserve">           a)  vanjske usluge</w:t>
            </w:r>
          </w:p>
        </w:tc>
        <w:tc>
          <w:tcPr>
            <w:tcW w:w="775" w:type="pct"/>
            <w:vAlign w:val="center"/>
          </w:tcPr>
          <w:p w14:paraId="751384B0" w14:textId="77777777" w:rsidR="00D86C20" w:rsidRPr="00CA4774" w:rsidRDefault="00D86C20" w:rsidP="007427C4">
            <w:pPr>
              <w:spacing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358.351,58</w:t>
            </w:r>
          </w:p>
        </w:tc>
        <w:tc>
          <w:tcPr>
            <w:tcW w:w="641" w:type="pct"/>
            <w:vAlign w:val="center"/>
          </w:tcPr>
          <w:p w14:paraId="08D63845" w14:textId="77777777" w:rsidR="00D86C20" w:rsidRPr="00CA4774" w:rsidRDefault="00D86C20" w:rsidP="007427C4">
            <w:pPr>
              <w:spacing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384.896,14</w:t>
            </w:r>
          </w:p>
        </w:tc>
        <w:tc>
          <w:tcPr>
            <w:tcW w:w="501" w:type="pct"/>
            <w:vAlign w:val="bottom"/>
          </w:tcPr>
          <w:p w14:paraId="1D396AF0"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107,4</w:t>
            </w:r>
          </w:p>
        </w:tc>
        <w:tc>
          <w:tcPr>
            <w:tcW w:w="528" w:type="pct"/>
            <w:tcBorders>
              <w:right w:val="double" w:sz="4" w:space="0" w:color="auto"/>
            </w:tcBorders>
            <w:vAlign w:val="bottom"/>
          </w:tcPr>
          <w:p w14:paraId="3EC831AF"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6,6</w:t>
            </w:r>
          </w:p>
        </w:tc>
      </w:tr>
      <w:tr w:rsidR="00D86C20" w:rsidRPr="00CA4774" w14:paraId="7D8AF667" w14:textId="77777777" w:rsidTr="009B3684">
        <w:trPr>
          <w:trHeight w:hRule="exact" w:val="340"/>
        </w:trPr>
        <w:tc>
          <w:tcPr>
            <w:tcW w:w="2555" w:type="pct"/>
            <w:tcBorders>
              <w:left w:val="double" w:sz="4" w:space="0" w:color="auto"/>
            </w:tcBorders>
          </w:tcPr>
          <w:p w14:paraId="6B3CD706" w14:textId="77777777" w:rsidR="00D86C20" w:rsidRPr="00CA4774" w:rsidRDefault="00D86C20" w:rsidP="007427C4">
            <w:pPr>
              <w:spacing w:line="276" w:lineRule="auto"/>
              <w:rPr>
                <w:rFonts w:ascii="Times New Roman" w:hAnsi="Times New Roman" w:cs="Times New Roman"/>
                <w:sz w:val="18"/>
                <w:szCs w:val="18"/>
              </w:rPr>
            </w:pPr>
            <w:r w:rsidRPr="00CA4774">
              <w:rPr>
                <w:rFonts w:ascii="Times New Roman" w:hAnsi="Times New Roman" w:cs="Times New Roman"/>
                <w:sz w:val="18"/>
                <w:szCs w:val="18"/>
              </w:rPr>
              <w:t xml:space="preserve">           b)  tekuće održavanje</w:t>
            </w:r>
          </w:p>
        </w:tc>
        <w:tc>
          <w:tcPr>
            <w:tcW w:w="775" w:type="pct"/>
            <w:vAlign w:val="center"/>
          </w:tcPr>
          <w:p w14:paraId="1811E882" w14:textId="77777777" w:rsidR="00D86C20" w:rsidRPr="00CA4774" w:rsidRDefault="00D86C20" w:rsidP="007427C4">
            <w:pPr>
              <w:spacing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132.722,81</w:t>
            </w:r>
          </w:p>
        </w:tc>
        <w:tc>
          <w:tcPr>
            <w:tcW w:w="641" w:type="pct"/>
            <w:vAlign w:val="center"/>
          </w:tcPr>
          <w:p w14:paraId="0211894A" w14:textId="77777777" w:rsidR="00D86C20" w:rsidRPr="00CA4774" w:rsidRDefault="00D86C20" w:rsidP="007427C4">
            <w:pPr>
              <w:spacing w:line="276" w:lineRule="auto"/>
              <w:jc w:val="right"/>
              <w:rPr>
                <w:rFonts w:ascii="Times New Roman" w:hAnsi="Times New Roman" w:cs="Times New Roman"/>
                <w:color w:val="000000"/>
                <w:sz w:val="18"/>
                <w:szCs w:val="18"/>
              </w:rPr>
            </w:pPr>
            <w:r w:rsidRPr="00CA4774">
              <w:rPr>
                <w:rFonts w:ascii="Times New Roman" w:hAnsi="Times New Roman" w:cs="Times New Roman"/>
                <w:color w:val="000000"/>
                <w:sz w:val="18"/>
                <w:szCs w:val="18"/>
              </w:rPr>
              <w:t>145.995,09</w:t>
            </w:r>
          </w:p>
        </w:tc>
        <w:tc>
          <w:tcPr>
            <w:tcW w:w="501" w:type="pct"/>
            <w:vAlign w:val="bottom"/>
          </w:tcPr>
          <w:p w14:paraId="75CC88FD"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110,0</w:t>
            </w:r>
          </w:p>
        </w:tc>
        <w:tc>
          <w:tcPr>
            <w:tcW w:w="528" w:type="pct"/>
            <w:tcBorders>
              <w:right w:val="double" w:sz="4" w:space="0" w:color="auto"/>
            </w:tcBorders>
            <w:vAlign w:val="bottom"/>
          </w:tcPr>
          <w:p w14:paraId="42B03917" w14:textId="77777777" w:rsidR="00D86C20" w:rsidRPr="00CA4774" w:rsidRDefault="00D86C20" w:rsidP="007427C4">
            <w:pPr>
              <w:spacing w:line="276" w:lineRule="auto"/>
              <w:jc w:val="center"/>
              <w:rPr>
                <w:rFonts w:ascii="Times New Roman" w:hAnsi="Times New Roman" w:cs="Times New Roman"/>
                <w:color w:val="000000"/>
                <w:sz w:val="18"/>
                <w:szCs w:val="18"/>
              </w:rPr>
            </w:pPr>
            <w:r w:rsidRPr="00CA4774">
              <w:rPr>
                <w:rFonts w:ascii="Times New Roman" w:hAnsi="Times New Roman" w:cs="Times New Roman"/>
                <w:color w:val="000000"/>
                <w:sz w:val="18"/>
                <w:szCs w:val="18"/>
              </w:rPr>
              <w:t>2,5</w:t>
            </w:r>
          </w:p>
        </w:tc>
      </w:tr>
      <w:tr w:rsidR="00D86C20" w:rsidRPr="00CA4774" w14:paraId="27EE5EA0" w14:textId="77777777" w:rsidTr="009B3684">
        <w:trPr>
          <w:trHeight w:hRule="exact" w:val="340"/>
        </w:trPr>
        <w:tc>
          <w:tcPr>
            <w:tcW w:w="2555" w:type="pct"/>
            <w:tcBorders>
              <w:left w:val="double" w:sz="4" w:space="0" w:color="auto"/>
            </w:tcBorders>
          </w:tcPr>
          <w:p w14:paraId="571BBF75"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3.  Amortizacija</w:t>
            </w:r>
          </w:p>
        </w:tc>
        <w:tc>
          <w:tcPr>
            <w:tcW w:w="775" w:type="pct"/>
            <w:vAlign w:val="center"/>
          </w:tcPr>
          <w:p w14:paraId="5E8CD706"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358.351,58</w:t>
            </w:r>
          </w:p>
        </w:tc>
        <w:tc>
          <w:tcPr>
            <w:tcW w:w="641" w:type="pct"/>
            <w:vAlign w:val="center"/>
          </w:tcPr>
          <w:p w14:paraId="5C21F41E"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371.623,86</w:t>
            </w:r>
          </w:p>
        </w:tc>
        <w:tc>
          <w:tcPr>
            <w:tcW w:w="501" w:type="pct"/>
            <w:vAlign w:val="bottom"/>
          </w:tcPr>
          <w:p w14:paraId="1D9F152B"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103,7</w:t>
            </w:r>
          </w:p>
        </w:tc>
        <w:tc>
          <w:tcPr>
            <w:tcW w:w="528" w:type="pct"/>
            <w:tcBorders>
              <w:right w:val="double" w:sz="4" w:space="0" w:color="auto"/>
            </w:tcBorders>
            <w:vAlign w:val="bottom"/>
          </w:tcPr>
          <w:p w14:paraId="7AFBC62B"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6,4</w:t>
            </w:r>
          </w:p>
        </w:tc>
      </w:tr>
      <w:tr w:rsidR="00D86C20" w:rsidRPr="00CA4774" w14:paraId="18789AC5" w14:textId="77777777" w:rsidTr="009B3684">
        <w:trPr>
          <w:trHeight w:hRule="exact" w:val="517"/>
        </w:trPr>
        <w:tc>
          <w:tcPr>
            <w:tcW w:w="2555" w:type="pct"/>
            <w:tcBorders>
              <w:left w:val="double" w:sz="4" w:space="0" w:color="auto"/>
            </w:tcBorders>
          </w:tcPr>
          <w:p w14:paraId="7EB0F577" w14:textId="77777777" w:rsidR="00D86C20" w:rsidRPr="00CA4774" w:rsidRDefault="00D86C20" w:rsidP="00F528BD">
            <w:pPr>
              <w:spacing w:after="0"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4.  Ostali troškovi posl.  (osiguranja, MO Totovec, </w:t>
            </w:r>
          </w:p>
          <w:p w14:paraId="65C5D229" w14:textId="77777777" w:rsidR="00D86C20" w:rsidRPr="00CA4774" w:rsidRDefault="00D86C20" w:rsidP="00F528BD">
            <w:pPr>
              <w:spacing w:after="0"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bankarske usluge, otpremnine …)</w:t>
            </w:r>
          </w:p>
        </w:tc>
        <w:tc>
          <w:tcPr>
            <w:tcW w:w="775" w:type="pct"/>
            <w:vAlign w:val="center"/>
          </w:tcPr>
          <w:p w14:paraId="711C5984" w14:textId="77777777" w:rsidR="00D86C20" w:rsidRPr="00CA4774" w:rsidRDefault="00D86C20" w:rsidP="007427C4">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1.015.329,48</w:t>
            </w:r>
          </w:p>
        </w:tc>
        <w:tc>
          <w:tcPr>
            <w:tcW w:w="641" w:type="pct"/>
            <w:vAlign w:val="center"/>
          </w:tcPr>
          <w:p w14:paraId="67A308FF" w14:textId="77777777" w:rsidR="00D86C20" w:rsidRPr="00CA4774" w:rsidRDefault="00D86C20" w:rsidP="007427C4">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1.096.024,95</w:t>
            </w:r>
          </w:p>
        </w:tc>
        <w:tc>
          <w:tcPr>
            <w:tcW w:w="501" w:type="pct"/>
            <w:vAlign w:val="center"/>
          </w:tcPr>
          <w:p w14:paraId="749D1C24"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107,9</w:t>
            </w:r>
          </w:p>
        </w:tc>
        <w:tc>
          <w:tcPr>
            <w:tcW w:w="528" w:type="pct"/>
            <w:tcBorders>
              <w:right w:val="double" w:sz="4" w:space="0" w:color="auto"/>
            </w:tcBorders>
            <w:vAlign w:val="center"/>
          </w:tcPr>
          <w:p w14:paraId="4A4D746F"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18,9</w:t>
            </w:r>
          </w:p>
        </w:tc>
      </w:tr>
      <w:tr w:rsidR="00D86C20" w:rsidRPr="00CA4774" w14:paraId="21B8C13A" w14:textId="77777777" w:rsidTr="009B3684">
        <w:trPr>
          <w:trHeight w:hRule="exact" w:val="577"/>
        </w:trPr>
        <w:tc>
          <w:tcPr>
            <w:tcW w:w="2555" w:type="pct"/>
            <w:tcBorders>
              <w:left w:val="double" w:sz="4" w:space="0" w:color="auto"/>
            </w:tcBorders>
          </w:tcPr>
          <w:p w14:paraId="65D6463D" w14:textId="2587FB0A" w:rsidR="00D86C20" w:rsidRPr="00CA4774" w:rsidRDefault="00D86C20" w:rsidP="00F528BD">
            <w:pPr>
              <w:spacing w:after="0"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 xml:space="preserve">5.  Vrijednosno usklađenje ( rashod trgovačke robe i  </w:t>
            </w:r>
            <w:r w:rsidR="005F1926" w:rsidRPr="00CA4774">
              <w:rPr>
                <w:rFonts w:ascii="Times New Roman" w:hAnsi="Times New Roman" w:cs="Times New Roman"/>
                <w:b/>
                <w:sz w:val="18"/>
                <w:szCs w:val="18"/>
              </w:rPr>
              <w:t xml:space="preserve"> </w:t>
            </w:r>
            <w:r w:rsidRPr="00CA4774">
              <w:rPr>
                <w:rFonts w:ascii="Times New Roman" w:hAnsi="Times New Roman" w:cs="Times New Roman"/>
                <w:b/>
                <w:sz w:val="18"/>
                <w:szCs w:val="18"/>
              </w:rPr>
              <w:t>potraživanja od kupaca</w:t>
            </w:r>
          </w:p>
        </w:tc>
        <w:tc>
          <w:tcPr>
            <w:tcW w:w="775" w:type="pct"/>
            <w:tcBorders>
              <w:top w:val="single" w:sz="8" w:space="0" w:color="auto"/>
              <w:left w:val="single" w:sz="8" w:space="0" w:color="auto"/>
              <w:bottom w:val="single" w:sz="8" w:space="0" w:color="auto"/>
              <w:right w:val="single" w:sz="8" w:space="0" w:color="auto"/>
            </w:tcBorders>
            <w:shd w:val="clear" w:color="auto" w:fill="auto"/>
            <w:vAlign w:val="center"/>
          </w:tcPr>
          <w:p w14:paraId="685187B8"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46.452,98</w:t>
            </w:r>
          </w:p>
        </w:tc>
        <w:tc>
          <w:tcPr>
            <w:tcW w:w="641" w:type="pct"/>
            <w:vAlign w:val="center"/>
          </w:tcPr>
          <w:p w14:paraId="1AD09DD3"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66.361,40</w:t>
            </w:r>
          </w:p>
        </w:tc>
        <w:tc>
          <w:tcPr>
            <w:tcW w:w="501" w:type="pct"/>
            <w:vAlign w:val="center"/>
          </w:tcPr>
          <w:p w14:paraId="5043646B"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142,9</w:t>
            </w:r>
          </w:p>
        </w:tc>
        <w:tc>
          <w:tcPr>
            <w:tcW w:w="528" w:type="pct"/>
            <w:tcBorders>
              <w:right w:val="double" w:sz="4" w:space="0" w:color="auto"/>
            </w:tcBorders>
            <w:vAlign w:val="center"/>
          </w:tcPr>
          <w:p w14:paraId="447042A0"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1,1</w:t>
            </w:r>
          </w:p>
        </w:tc>
      </w:tr>
      <w:tr w:rsidR="00D86C20" w:rsidRPr="00CA4774" w14:paraId="37C33B1C" w14:textId="77777777" w:rsidTr="009B3684">
        <w:trPr>
          <w:trHeight w:hRule="exact" w:val="340"/>
        </w:trPr>
        <w:tc>
          <w:tcPr>
            <w:tcW w:w="2555" w:type="pct"/>
            <w:tcBorders>
              <w:left w:val="double" w:sz="4" w:space="0" w:color="auto"/>
            </w:tcBorders>
          </w:tcPr>
          <w:p w14:paraId="47D9A463"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6.  Troškovi osoblja  (plaće, naknade …)</w:t>
            </w:r>
          </w:p>
        </w:tc>
        <w:tc>
          <w:tcPr>
            <w:tcW w:w="775" w:type="pct"/>
            <w:tcBorders>
              <w:top w:val="nil"/>
              <w:left w:val="single" w:sz="8" w:space="0" w:color="auto"/>
              <w:bottom w:val="single" w:sz="8" w:space="0" w:color="auto"/>
              <w:right w:val="single" w:sz="8" w:space="0" w:color="auto"/>
            </w:tcBorders>
            <w:shd w:val="clear" w:color="auto" w:fill="auto"/>
            <w:vAlign w:val="center"/>
          </w:tcPr>
          <w:p w14:paraId="03844D66"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2.468.644,24</w:t>
            </w:r>
          </w:p>
        </w:tc>
        <w:tc>
          <w:tcPr>
            <w:tcW w:w="641" w:type="pct"/>
            <w:vAlign w:val="center"/>
          </w:tcPr>
          <w:p w14:paraId="0599F6F5"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2.704.890,85</w:t>
            </w:r>
          </w:p>
        </w:tc>
        <w:tc>
          <w:tcPr>
            <w:tcW w:w="501" w:type="pct"/>
            <w:vAlign w:val="bottom"/>
          </w:tcPr>
          <w:p w14:paraId="7EA3D19E"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109,6</w:t>
            </w:r>
          </w:p>
        </w:tc>
        <w:tc>
          <w:tcPr>
            <w:tcW w:w="528" w:type="pct"/>
            <w:tcBorders>
              <w:right w:val="double" w:sz="4" w:space="0" w:color="auto"/>
            </w:tcBorders>
            <w:vAlign w:val="bottom"/>
          </w:tcPr>
          <w:p w14:paraId="6DAD9893"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46,5</w:t>
            </w:r>
          </w:p>
        </w:tc>
      </w:tr>
      <w:tr w:rsidR="00D86C20" w:rsidRPr="00CA4774" w14:paraId="40A26819" w14:textId="77777777" w:rsidTr="009B3684">
        <w:trPr>
          <w:trHeight w:hRule="exact" w:val="340"/>
        </w:trPr>
        <w:tc>
          <w:tcPr>
            <w:tcW w:w="2555" w:type="pct"/>
            <w:tcBorders>
              <w:left w:val="double" w:sz="4" w:space="0" w:color="auto"/>
            </w:tcBorders>
          </w:tcPr>
          <w:p w14:paraId="57BF76D0"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7.  Nabavna vrijednost robe (pogr. opreme, cvijeće…)</w:t>
            </w:r>
          </w:p>
        </w:tc>
        <w:tc>
          <w:tcPr>
            <w:tcW w:w="775" w:type="pct"/>
            <w:tcBorders>
              <w:top w:val="nil"/>
              <w:left w:val="single" w:sz="8" w:space="0" w:color="auto"/>
              <w:bottom w:val="single" w:sz="8" w:space="0" w:color="auto"/>
              <w:right w:val="single" w:sz="8" w:space="0" w:color="auto"/>
            </w:tcBorders>
            <w:shd w:val="clear" w:color="auto" w:fill="auto"/>
            <w:vAlign w:val="center"/>
          </w:tcPr>
          <w:p w14:paraId="673DFB00"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192.448,07</w:t>
            </w:r>
          </w:p>
        </w:tc>
        <w:tc>
          <w:tcPr>
            <w:tcW w:w="641" w:type="pct"/>
            <w:vAlign w:val="center"/>
          </w:tcPr>
          <w:p w14:paraId="4FD32F5A"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265.445,63</w:t>
            </w:r>
          </w:p>
        </w:tc>
        <w:tc>
          <w:tcPr>
            <w:tcW w:w="501" w:type="pct"/>
            <w:vAlign w:val="bottom"/>
          </w:tcPr>
          <w:p w14:paraId="73CC6F4D"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137,9</w:t>
            </w:r>
          </w:p>
        </w:tc>
        <w:tc>
          <w:tcPr>
            <w:tcW w:w="528" w:type="pct"/>
            <w:tcBorders>
              <w:right w:val="double" w:sz="4" w:space="0" w:color="auto"/>
            </w:tcBorders>
            <w:vAlign w:val="bottom"/>
          </w:tcPr>
          <w:p w14:paraId="04D6D47D"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4,6</w:t>
            </w:r>
          </w:p>
        </w:tc>
      </w:tr>
      <w:tr w:rsidR="00D86C20" w:rsidRPr="00CA4774" w14:paraId="514E7A0B" w14:textId="77777777" w:rsidTr="009B3684">
        <w:trPr>
          <w:trHeight w:hRule="exact" w:val="609"/>
        </w:trPr>
        <w:tc>
          <w:tcPr>
            <w:tcW w:w="2555" w:type="pct"/>
            <w:tcBorders>
              <w:left w:val="double" w:sz="4" w:space="0" w:color="auto"/>
            </w:tcBorders>
          </w:tcPr>
          <w:p w14:paraId="318052C3" w14:textId="77777777" w:rsidR="00D86C20" w:rsidRPr="00CA4774" w:rsidRDefault="00D86C20" w:rsidP="00F528BD">
            <w:pPr>
              <w:spacing w:after="0" w:line="276" w:lineRule="auto"/>
              <w:rPr>
                <w:rFonts w:ascii="Times New Roman" w:hAnsi="Times New Roman" w:cs="Times New Roman"/>
                <w:b/>
                <w:sz w:val="18"/>
                <w:szCs w:val="18"/>
              </w:rPr>
            </w:pPr>
            <w:r w:rsidRPr="00CA4774">
              <w:rPr>
                <w:rFonts w:ascii="Times New Roman" w:hAnsi="Times New Roman" w:cs="Times New Roman"/>
                <w:sz w:val="18"/>
                <w:szCs w:val="18"/>
              </w:rPr>
              <w:t xml:space="preserve">      </w:t>
            </w:r>
            <w:r w:rsidRPr="00CA4774">
              <w:rPr>
                <w:rFonts w:ascii="Times New Roman" w:hAnsi="Times New Roman" w:cs="Times New Roman"/>
                <w:b/>
                <w:sz w:val="18"/>
                <w:szCs w:val="18"/>
              </w:rPr>
              <w:t>8.  Financijski troškovi  (otpisana vrijednost, otpis. potraživ. ranijih godina)</w:t>
            </w:r>
          </w:p>
        </w:tc>
        <w:tc>
          <w:tcPr>
            <w:tcW w:w="775" w:type="pct"/>
            <w:tcBorders>
              <w:top w:val="nil"/>
              <w:left w:val="single" w:sz="8" w:space="0" w:color="auto"/>
              <w:bottom w:val="single" w:sz="8" w:space="0" w:color="auto"/>
              <w:right w:val="single" w:sz="8" w:space="0" w:color="auto"/>
            </w:tcBorders>
            <w:shd w:val="clear" w:color="auto" w:fill="auto"/>
            <w:vAlign w:val="center"/>
          </w:tcPr>
          <w:p w14:paraId="22F3C7DA"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5.308,91</w:t>
            </w:r>
          </w:p>
        </w:tc>
        <w:tc>
          <w:tcPr>
            <w:tcW w:w="641" w:type="pct"/>
            <w:vAlign w:val="center"/>
          </w:tcPr>
          <w:p w14:paraId="7D46B4D5" w14:textId="77777777" w:rsidR="00D86C20" w:rsidRPr="00CA4774" w:rsidRDefault="00D86C20" w:rsidP="007427C4">
            <w:pPr>
              <w:spacing w:line="276" w:lineRule="auto"/>
              <w:jc w:val="right"/>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6.636,14</w:t>
            </w:r>
          </w:p>
        </w:tc>
        <w:tc>
          <w:tcPr>
            <w:tcW w:w="501" w:type="pct"/>
            <w:vAlign w:val="center"/>
          </w:tcPr>
          <w:p w14:paraId="1C9449E4"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125,0</w:t>
            </w:r>
          </w:p>
        </w:tc>
        <w:tc>
          <w:tcPr>
            <w:tcW w:w="528" w:type="pct"/>
            <w:tcBorders>
              <w:right w:val="double" w:sz="4" w:space="0" w:color="auto"/>
            </w:tcBorders>
            <w:vAlign w:val="center"/>
          </w:tcPr>
          <w:p w14:paraId="7FE362B3" w14:textId="77777777" w:rsidR="00D86C20" w:rsidRPr="00CA4774" w:rsidRDefault="00D86C20" w:rsidP="007427C4">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0,1</w:t>
            </w:r>
          </w:p>
        </w:tc>
      </w:tr>
      <w:tr w:rsidR="00D86C20" w:rsidRPr="00CA4774" w14:paraId="608B833B" w14:textId="77777777" w:rsidTr="009B3684">
        <w:trPr>
          <w:trHeight w:hRule="exact" w:val="340"/>
        </w:trPr>
        <w:tc>
          <w:tcPr>
            <w:tcW w:w="2555" w:type="pct"/>
            <w:tcBorders>
              <w:left w:val="double" w:sz="4" w:space="0" w:color="auto"/>
            </w:tcBorders>
          </w:tcPr>
          <w:p w14:paraId="4AACCC24"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9.  Izvanredni rashodi</w:t>
            </w:r>
          </w:p>
        </w:tc>
        <w:tc>
          <w:tcPr>
            <w:tcW w:w="775" w:type="pct"/>
            <w:vAlign w:val="center"/>
          </w:tcPr>
          <w:p w14:paraId="62205A3E" w14:textId="77777777" w:rsidR="00D86C20" w:rsidRPr="00CA4774" w:rsidRDefault="00D86C20" w:rsidP="007427C4">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0,00</w:t>
            </w:r>
          </w:p>
        </w:tc>
        <w:tc>
          <w:tcPr>
            <w:tcW w:w="641" w:type="pct"/>
            <w:vAlign w:val="center"/>
          </w:tcPr>
          <w:p w14:paraId="0E32DC36" w14:textId="77777777" w:rsidR="00D86C20" w:rsidRPr="00CA4774" w:rsidRDefault="00D86C20" w:rsidP="007427C4">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0,00</w:t>
            </w:r>
          </w:p>
        </w:tc>
        <w:tc>
          <w:tcPr>
            <w:tcW w:w="501" w:type="pct"/>
            <w:vAlign w:val="bottom"/>
          </w:tcPr>
          <w:p w14:paraId="5036B55E" w14:textId="77777777" w:rsidR="00D86C20" w:rsidRPr="00CA4774" w:rsidRDefault="00D86C20" w:rsidP="007427C4">
            <w:pPr>
              <w:spacing w:line="276" w:lineRule="auto"/>
              <w:jc w:val="center"/>
              <w:rPr>
                <w:rFonts w:ascii="Times New Roman" w:hAnsi="Times New Roman" w:cs="Times New Roman"/>
                <w:b/>
                <w:bCs/>
                <w:color w:val="000000"/>
                <w:sz w:val="18"/>
                <w:szCs w:val="18"/>
              </w:rPr>
            </w:pPr>
          </w:p>
        </w:tc>
        <w:tc>
          <w:tcPr>
            <w:tcW w:w="528" w:type="pct"/>
            <w:tcBorders>
              <w:right w:val="double" w:sz="4" w:space="0" w:color="auto"/>
            </w:tcBorders>
            <w:vAlign w:val="center"/>
          </w:tcPr>
          <w:p w14:paraId="5DD8C85D" w14:textId="77777777" w:rsidR="00D86C20" w:rsidRPr="00CA4774" w:rsidRDefault="00D86C20" w:rsidP="007427C4">
            <w:pPr>
              <w:spacing w:line="276" w:lineRule="auto"/>
              <w:jc w:val="center"/>
              <w:rPr>
                <w:rFonts w:ascii="Times New Roman" w:hAnsi="Times New Roman" w:cs="Times New Roman"/>
                <w:b/>
                <w:bCs/>
                <w:sz w:val="18"/>
                <w:szCs w:val="18"/>
              </w:rPr>
            </w:pPr>
          </w:p>
        </w:tc>
      </w:tr>
      <w:tr w:rsidR="00D86C20" w:rsidRPr="00CA4774" w14:paraId="69EF852A" w14:textId="77777777" w:rsidTr="009B3684">
        <w:trPr>
          <w:trHeight w:hRule="exact" w:val="340"/>
        </w:trPr>
        <w:tc>
          <w:tcPr>
            <w:tcW w:w="2555" w:type="pct"/>
            <w:tcBorders>
              <w:left w:val="double" w:sz="4" w:space="0" w:color="auto"/>
            </w:tcBorders>
          </w:tcPr>
          <w:p w14:paraId="63365A67"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10.  Nedovršena proizvodnja</w:t>
            </w:r>
          </w:p>
        </w:tc>
        <w:tc>
          <w:tcPr>
            <w:tcW w:w="775" w:type="pct"/>
            <w:vAlign w:val="center"/>
          </w:tcPr>
          <w:p w14:paraId="373717CE" w14:textId="77777777" w:rsidR="00D86C20" w:rsidRPr="00CA4774" w:rsidRDefault="00D86C20" w:rsidP="007427C4">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0,00</w:t>
            </w:r>
          </w:p>
        </w:tc>
        <w:tc>
          <w:tcPr>
            <w:tcW w:w="641" w:type="pct"/>
            <w:vAlign w:val="center"/>
          </w:tcPr>
          <w:p w14:paraId="57991360" w14:textId="77777777" w:rsidR="00D86C20" w:rsidRPr="00CA4774" w:rsidRDefault="00D86C20" w:rsidP="007427C4">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0,00</w:t>
            </w:r>
          </w:p>
        </w:tc>
        <w:tc>
          <w:tcPr>
            <w:tcW w:w="501" w:type="pct"/>
            <w:vAlign w:val="bottom"/>
          </w:tcPr>
          <w:p w14:paraId="2689260A" w14:textId="77777777" w:rsidR="00D86C20" w:rsidRPr="00CA4774" w:rsidRDefault="00D86C20" w:rsidP="007427C4">
            <w:pPr>
              <w:spacing w:line="276" w:lineRule="auto"/>
              <w:jc w:val="center"/>
              <w:rPr>
                <w:rFonts w:ascii="Times New Roman" w:hAnsi="Times New Roman" w:cs="Times New Roman"/>
                <w:color w:val="000000"/>
                <w:sz w:val="18"/>
                <w:szCs w:val="18"/>
              </w:rPr>
            </w:pPr>
          </w:p>
        </w:tc>
        <w:tc>
          <w:tcPr>
            <w:tcW w:w="528" w:type="pct"/>
            <w:tcBorders>
              <w:right w:val="double" w:sz="4" w:space="0" w:color="auto"/>
            </w:tcBorders>
            <w:vAlign w:val="center"/>
          </w:tcPr>
          <w:p w14:paraId="76851124" w14:textId="77777777" w:rsidR="00D86C20" w:rsidRPr="00CA4774" w:rsidRDefault="00D86C20" w:rsidP="007427C4">
            <w:pPr>
              <w:spacing w:line="276" w:lineRule="auto"/>
              <w:jc w:val="center"/>
              <w:rPr>
                <w:rFonts w:ascii="Times New Roman" w:hAnsi="Times New Roman" w:cs="Times New Roman"/>
                <w:sz w:val="18"/>
                <w:szCs w:val="18"/>
              </w:rPr>
            </w:pPr>
          </w:p>
        </w:tc>
      </w:tr>
      <w:tr w:rsidR="00D86C20" w:rsidRPr="00CA4774" w14:paraId="55042FC5" w14:textId="77777777" w:rsidTr="009B3684">
        <w:trPr>
          <w:trHeight w:hRule="exact" w:val="590"/>
        </w:trPr>
        <w:tc>
          <w:tcPr>
            <w:tcW w:w="2555" w:type="pct"/>
            <w:tcBorders>
              <w:left w:val="double" w:sz="4" w:space="0" w:color="auto"/>
            </w:tcBorders>
            <w:vAlign w:val="center"/>
          </w:tcPr>
          <w:p w14:paraId="0B832C8B" w14:textId="3614DE30" w:rsidR="00D86C20" w:rsidRPr="00CA4774" w:rsidRDefault="00D86C20" w:rsidP="005F1926">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RASHODI  OD POSLOVANJA  UKUPNO</w:t>
            </w:r>
          </w:p>
        </w:tc>
        <w:tc>
          <w:tcPr>
            <w:tcW w:w="775" w:type="pct"/>
            <w:vAlign w:val="center"/>
          </w:tcPr>
          <w:p w14:paraId="42508386" w14:textId="77777777" w:rsidR="00D86C20" w:rsidRPr="00CA4774" w:rsidRDefault="00D86C20" w:rsidP="005F1926">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5.294.312,83</w:t>
            </w:r>
          </w:p>
        </w:tc>
        <w:tc>
          <w:tcPr>
            <w:tcW w:w="641" w:type="pct"/>
            <w:vAlign w:val="center"/>
          </w:tcPr>
          <w:p w14:paraId="25D279E8" w14:textId="77777777" w:rsidR="00D86C20" w:rsidRPr="00CA4774" w:rsidRDefault="00D86C20" w:rsidP="005F1926">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5.818.302,48</w:t>
            </w:r>
          </w:p>
        </w:tc>
        <w:tc>
          <w:tcPr>
            <w:tcW w:w="501" w:type="pct"/>
            <w:vAlign w:val="center"/>
          </w:tcPr>
          <w:p w14:paraId="169B8509" w14:textId="77777777" w:rsidR="00D86C20" w:rsidRPr="00CA4774" w:rsidRDefault="00D86C20" w:rsidP="005F1926">
            <w:pPr>
              <w:spacing w:line="276" w:lineRule="auto"/>
              <w:jc w:val="center"/>
              <w:rPr>
                <w:rFonts w:ascii="Times New Roman" w:hAnsi="Times New Roman" w:cs="Times New Roman"/>
                <w:b/>
                <w:bCs/>
                <w:color w:val="000000"/>
                <w:sz w:val="18"/>
                <w:szCs w:val="18"/>
              </w:rPr>
            </w:pPr>
            <w:r w:rsidRPr="00CA4774">
              <w:rPr>
                <w:rFonts w:ascii="Times New Roman" w:hAnsi="Times New Roman" w:cs="Times New Roman"/>
                <w:b/>
                <w:bCs/>
                <w:color w:val="000000"/>
                <w:sz w:val="18"/>
                <w:szCs w:val="18"/>
              </w:rPr>
              <w:t>109,9</w:t>
            </w:r>
          </w:p>
        </w:tc>
        <w:tc>
          <w:tcPr>
            <w:tcW w:w="528" w:type="pct"/>
            <w:tcBorders>
              <w:right w:val="double" w:sz="4" w:space="0" w:color="auto"/>
            </w:tcBorders>
            <w:vAlign w:val="center"/>
          </w:tcPr>
          <w:p w14:paraId="674B763F" w14:textId="77777777" w:rsidR="00D86C20" w:rsidRPr="00CA4774" w:rsidRDefault="00D86C20" w:rsidP="005F1926">
            <w:pPr>
              <w:spacing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100,0</w:t>
            </w:r>
          </w:p>
        </w:tc>
      </w:tr>
      <w:tr w:rsidR="00D86C20" w:rsidRPr="00CA4774" w14:paraId="6C92B0ED" w14:textId="77777777" w:rsidTr="009B3684">
        <w:trPr>
          <w:trHeight w:hRule="exact" w:val="340"/>
        </w:trPr>
        <w:tc>
          <w:tcPr>
            <w:tcW w:w="2555" w:type="pct"/>
            <w:tcBorders>
              <w:left w:val="double" w:sz="4" w:space="0" w:color="auto"/>
            </w:tcBorders>
          </w:tcPr>
          <w:p w14:paraId="1CA96D17"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 xml:space="preserve">      11. Sanacija odlagališta</w:t>
            </w:r>
          </w:p>
        </w:tc>
        <w:tc>
          <w:tcPr>
            <w:tcW w:w="775" w:type="pct"/>
            <w:vAlign w:val="center"/>
          </w:tcPr>
          <w:p w14:paraId="2ACABAA3" w14:textId="77777777" w:rsidR="00D86C20" w:rsidRPr="00CA4774" w:rsidRDefault="00D86C20" w:rsidP="007427C4">
            <w:pPr>
              <w:spacing w:line="276" w:lineRule="auto"/>
              <w:jc w:val="right"/>
              <w:rPr>
                <w:rFonts w:ascii="Times New Roman" w:hAnsi="Times New Roman" w:cs="Times New Roman"/>
                <w:b/>
                <w:sz w:val="18"/>
                <w:szCs w:val="18"/>
              </w:rPr>
            </w:pPr>
          </w:p>
        </w:tc>
        <w:tc>
          <w:tcPr>
            <w:tcW w:w="641" w:type="pct"/>
            <w:vAlign w:val="center"/>
          </w:tcPr>
          <w:p w14:paraId="3E66CA4B" w14:textId="77777777" w:rsidR="00D86C20" w:rsidRPr="00CA4774" w:rsidRDefault="00D86C20" w:rsidP="007427C4">
            <w:pPr>
              <w:spacing w:line="276" w:lineRule="auto"/>
              <w:jc w:val="right"/>
              <w:rPr>
                <w:rFonts w:ascii="Times New Roman" w:hAnsi="Times New Roman" w:cs="Times New Roman"/>
                <w:b/>
                <w:sz w:val="18"/>
                <w:szCs w:val="18"/>
              </w:rPr>
            </w:pPr>
          </w:p>
        </w:tc>
        <w:tc>
          <w:tcPr>
            <w:tcW w:w="501" w:type="pct"/>
            <w:vAlign w:val="bottom"/>
          </w:tcPr>
          <w:p w14:paraId="086B793D" w14:textId="77777777" w:rsidR="00D86C20" w:rsidRPr="00CA4774" w:rsidRDefault="00D86C20" w:rsidP="007427C4">
            <w:pPr>
              <w:spacing w:line="276" w:lineRule="auto"/>
              <w:jc w:val="center"/>
              <w:rPr>
                <w:rFonts w:ascii="Times New Roman" w:hAnsi="Times New Roman" w:cs="Times New Roman"/>
                <w:color w:val="000000"/>
                <w:sz w:val="18"/>
                <w:szCs w:val="18"/>
              </w:rPr>
            </w:pPr>
          </w:p>
        </w:tc>
        <w:tc>
          <w:tcPr>
            <w:tcW w:w="528" w:type="pct"/>
            <w:tcBorders>
              <w:right w:val="double" w:sz="4" w:space="0" w:color="auto"/>
            </w:tcBorders>
            <w:vAlign w:val="center"/>
          </w:tcPr>
          <w:p w14:paraId="1E16D268" w14:textId="77777777" w:rsidR="00D86C20" w:rsidRPr="00CA4774" w:rsidRDefault="00D86C20" w:rsidP="007427C4">
            <w:pPr>
              <w:spacing w:line="276" w:lineRule="auto"/>
              <w:jc w:val="center"/>
              <w:rPr>
                <w:rFonts w:ascii="Times New Roman" w:hAnsi="Times New Roman" w:cs="Times New Roman"/>
                <w:b/>
                <w:sz w:val="18"/>
                <w:szCs w:val="18"/>
              </w:rPr>
            </w:pPr>
          </w:p>
        </w:tc>
      </w:tr>
    </w:tbl>
    <w:p w14:paraId="529A696F" w14:textId="77777777" w:rsidR="00D86C20" w:rsidRPr="00CA4774" w:rsidRDefault="00D86C20" w:rsidP="00D86C20">
      <w:pPr>
        <w:spacing w:line="276"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0"/>
        <w:gridCol w:w="1582"/>
        <w:gridCol w:w="1582"/>
        <w:gridCol w:w="678"/>
      </w:tblGrid>
      <w:tr w:rsidR="00D86C20" w:rsidRPr="00CA4774" w14:paraId="77E0D0EE" w14:textId="77777777" w:rsidTr="008D4171">
        <w:tc>
          <w:tcPr>
            <w:tcW w:w="2875" w:type="pct"/>
            <w:tcBorders>
              <w:top w:val="double" w:sz="4" w:space="0" w:color="auto"/>
              <w:left w:val="double" w:sz="4" w:space="0" w:color="auto"/>
              <w:bottom w:val="double" w:sz="4" w:space="0" w:color="auto"/>
            </w:tcBorders>
          </w:tcPr>
          <w:p w14:paraId="08CBB28D" w14:textId="77777777" w:rsidR="00D86C20" w:rsidRPr="00CA4774" w:rsidRDefault="00D86C20" w:rsidP="007427C4">
            <w:pPr>
              <w:spacing w:line="276" w:lineRule="auto"/>
              <w:rPr>
                <w:rFonts w:ascii="Times New Roman" w:hAnsi="Times New Roman" w:cs="Times New Roman"/>
                <w:b/>
                <w:sz w:val="18"/>
                <w:szCs w:val="18"/>
              </w:rPr>
            </w:pPr>
          </w:p>
          <w:p w14:paraId="098D7BEE" w14:textId="77777777" w:rsidR="00D86C20" w:rsidRPr="00CA4774" w:rsidRDefault="00D86C20" w:rsidP="007427C4">
            <w:pPr>
              <w:spacing w:line="276" w:lineRule="auto"/>
              <w:rPr>
                <w:rFonts w:ascii="Times New Roman" w:hAnsi="Times New Roman" w:cs="Times New Roman"/>
                <w:b/>
                <w:sz w:val="18"/>
                <w:szCs w:val="18"/>
              </w:rPr>
            </w:pPr>
            <w:r w:rsidRPr="00CA4774">
              <w:rPr>
                <w:rFonts w:ascii="Times New Roman" w:hAnsi="Times New Roman" w:cs="Times New Roman"/>
                <w:b/>
                <w:sz w:val="18"/>
                <w:szCs w:val="18"/>
              </w:rPr>
              <w:t>C) RAZLIKA  PRIHODA  I  RASHODA (očekivana dobit)</w:t>
            </w:r>
          </w:p>
        </w:tc>
        <w:tc>
          <w:tcPr>
            <w:tcW w:w="875" w:type="pct"/>
            <w:tcBorders>
              <w:top w:val="double" w:sz="4" w:space="0" w:color="auto"/>
              <w:bottom w:val="double" w:sz="4" w:space="0" w:color="auto"/>
            </w:tcBorders>
            <w:vAlign w:val="center"/>
          </w:tcPr>
          <w:p w14:paraId="13D80F7D" w14:textId="77777777" w:rsidR="00D86C20" w:rsidRPr="00CA4774" w:rsidRDefault="00D86C20" w:rsidP="007427C4">
            <w:pPr>
              <w:spacing w:line="276" w:lineRule="auto"/>
              <w:jc w:val="right"/>
              <w:rPr>
                <w:rFonts w:ascii="Times New Roman" w:hAnsi="Times New Roman" w:cs="Times New Roman"/>
                <w:b/>
                <w:sz w:val="18"/>
                <w:szCs w:val="18"/>
              </w:rPr>
            </w:pPr>
          </w:p>
          <w:p w14:paraId="62D6E076" w14:textId="77777777" w:rsidR="00D86C20" w:rsidRPr="00CA4774" w:rsidRDefault="00D86C20" w:rsidP="007427C4">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11.015,99</w:t>
            </w:r>
          </w:p>
        </w:tc>
        <w:tc>
          <w:tcPr>
            <w:tcW w:w="875" w:type="pct"/>
            <w:tcBorders>
              <w:top w:val="double" w:sz="4" w:space="0" w:color="auto"/>
              <w:bottom w:val="double" w:sz="4" w:space="0" w:color="auto"/>
              <w:right w:val="double" w:sz="4" w:space="0" w:color="auto"/>
            </w:tcBorders>
          </w:tcPr>
          <w:p w14:paraId="686DF597" w14:textId="77777777" w:rsidR="00D86C20" w:rsidRPr="00CA4774" w:rsidRDefault="00D86C20" w:rsidP="007427C4">
            <w:pPr>
              <w:spacing w:line="276" w:lineRule="auto"/>
              <w:jc w:val="right"/>
              <w:rPr>
                <w:rFonts w:ascii="Times New Roman" w:hAnsi="Times New Roman" w:cs="Times New Roman"/>
                <w:b/>
                <w:sz w:val="18"/>
                <w:szCs w:val="18"/>
              </w:rPr>
            </w:pPr>
          </w:p>
          <w:p w14:paraId="5D73A32E" w14:textId="77777777" w:rsidR="00D86C20" w:rsidRPr="00CA4774" w:rsidRDefault="00D86C20" w:rsidP="007427C4">
            <w:pPr>
              <w:spacing w:line="276" w:lineRule="auto"/>
              <w:jc w:val="right"/>
              <w:rPr>
                <w:rFonts w:ascii="Times New Roman" w:hAnsi="Times New Roman" w:cs="Times New Roman"/>
                <w:b/>
                <w:sz w:val="18"/>
                <w:szCs w:val="18"/>
              </w:rPr>
            </w:pPr>
            <w:r w:rsidRPr="00CA4774">
              <w:rPr>
                <w:rFonts w:ascii="Times New Roman" w:hAnsi="Times New Roman" w:cs="Times New Roman"/>
                <w:b/>
                <w:sz w:val="18"/>
                <w:szCs w:val="18"/>
              </w:rPr>
              <w:t>8.994,92</w:t>
            </w:r>
          </w:p>
        </w:tc>
        <w:tc>
          <w:tcPr>
            <w:tcW w:w="375" w:type="pct"/>
            <w:tcBorders>
              <w:top w:val="double" w:sz="4" w:space="0" w:color="auto"/>
              <w:left w:val="double" w:sz="4" w:space="0" w:color="auto"/>
              <w:bottom w:val="double" w:sz="4" w:space="0" w:color="auto"/>
              <w:right w:val="double" w:sz="4" w:space="0" w:color="auto"/>
            </w:tcBorders>
          </w:tcPr>
          <w:p w14:paraId="3848092F" w14:textId="77777777" w:rsidR="00D86C20" w:rsidRPr="00CA4774" w:rsidRDefault="00D86C20" w:rsidP="007427C4">
            <w:pPr>
              <w:spacing w:line="276" w:lineRule="auto"/>
              <w:jc w:val="right"/>
              <w:rPr>
                <w:rFonts w:ascii="Times New Roman" w:hAnsi="Times New Roman" w:cs="Times New Roman"/>
                <w:b/>
                <w:sz w:val="18"/>
                <w:szCs w:val="18"/>
              </w:rPr>
            </w:pPr>
          </w:p>
          <w:p w14:paraId="3E951203" w14:textId="77777777" w:rsidR="00D86C20" w:rsidRPr="00CA4774" w:rsidRDefault="00D86C20" w:rsidP="007427C4">
            <w:pPr>
              <w:spacing w:line="276" w:lineRule="auto"/>
              <w:jc w:val="center"/>
              <w:rPr>
                <w:rFonts w:ascii="Times New Roman" w:hAnsi="Times New Roman" w:cs="Times New Roman"/>
                <w:b/>
                <w:sz w:val="18"/>
                <w:szCs w:val="18"/>
              </w:rPr>
            </w:pPr>
            <w:r w:rsidRPr="00CA4774">
              <w:rPr>
                <w:rFonts w:ascii="Times New Roman" w:hAnsi="Times New Roman" w:cs="Times New Roman"/>
                <w:b/>
                <w:sz w:val="18"/>
                <w:szCs w:val="18"/>
              </w:rPr>
              <w:t>81,7</w:t>
            </w:r>
          </w:p>
        </w:tc>
      </w:tr>
    </w:tbl>
    <w:p w14:paraId="06BC447C" w14:textId="77777777" w:rsidR="00D86C20" w:rsidRPr="00CA4774" w:rsidRDefault="00D86C20" w:rsidP="00D86C20">
      <w:pPr>
        <w:pStyle w:val="Tijeloteksta"/>
        <w:spacing w:line="276" w:lineRule="auto"/>
        <w:rPr>
          <w:sz w:val="18"/>
          <w:szCs w:val="18"/>
        </w:rPr>
      </w:pPr>
      <w:r w:rsidRPr="00CA4774">
        <w:rPr>
          <w:sz w:val="18"/>
          <w:szCs w:val="18"/>
        </w:rPr>
        <w:t>*  Ostvarenje 2022. – predstavlja ostvarenje za 1. – 9./2022. uvećano za indeks 133</w:t>
      </w:r>
    </w:p>
    <w:p w14:paraId="023A16A8" w14:textId="77777777" w:rsidR="009100D3" w:rsidRDefault="009100D3" w:rsidP="00D86C20">
      <w:pPr>
        <w:pStyle w:val="Tijeloteksta"/>
        <w:spacing w:line="276" w:lineRule="auto"/>
        <w:rPr>
          <w:rFonts w:ascii="Calibri" w:hAnsi="Calibri"/>
          <w:sz w:val="18"/>
          <w:szCs w:val="18"/>
        </w:rPr>
      </w:pPr>
    </w:p>
    <w:p w14:paraId="6B7200A7" w14:textId="77777777" w:rsidR="005F1926" w:rsidRDefault="005F1926" w:rsidP="00D86C20">
      <w:pPr>
        <w:pStyle w:val="Tijeloteksta"/>
        <w:spacing w:line="276" w:lineRule="auto"/>
        <w:rPr>
          <w:rFonts w:ascii="Calibri" w:hAnsi="Calibri"/>
          <w:sz w:val="18"/>
          <w:szCs w:val="18"/>
        </w:rPr>
      </w:pPr>
    </w:p>
    <w:p w14:paraId="4A6C161E" w14:textId="77777777" w:rsidR="009B3684" w:rsidRDefault="009B3684" w:rsidP="00D86C20">
      <w:pPr>
        <w:pStyle w:val="Tijeloteksta"/>
        <w:spacing w:line="276" w:lineRule="auto"/>
        <w:rPr>
          <w:rFonts w:ascii="Calibri" w:hAnsi="Calibri"/>
          <w:sz w:val="18"/>
          <w:szCs w:val="18"/>
        </w:rPr>
      </w:pPr>
    </w:p>
    <w:p w14:paraId="2714B42E" w14:textId="77777777" w:rsidR="009B3684" w:rsidRDefault="009B3684" w:rsidP="00D86C20">
      <w:pPr>
        <w:pStyle w:val="Tijeloteksta"/>
        <w:spacing w:line="276" w:lineRule="auto"/>
        <w:rPr>
          <w:rFonts w:ascii="Calibri" w:hAnsi="Calibri"/>
          <w:sz w:val="18"/>
          <w:szCs w:val="18"/>
        </w:rPr>
      </w:pPr>
    </w:p>
    <w:p w14:paraId="22935950" w14:textId="77777777" w:rsidR="009B3684" w:rsidRDefault="009B3684" w:rsidP="00D86C20">
      <w:pPr>
        <w:pStyle w:val="Tijeloteksta"/>
        <w:spacing w:line="276" w:lineRule="auto"/>
        <w:rPr>
          <w:rFonts w:ascii="Calibri" w:hAnsi="Calibri"/>
          <w:sz w:val="18"/>
          <w:szCs w:val="18"/>
        </w:rPr>
      </w:pPr>
    </w:p>
    <w:p w14:paraId="7459FCE3" w14:textId="77777777" w:rsidR="009B3684" w:rsidRDefault="009B3684" w:rsidP="00D86C20">
      <w:pPr>
        <w:pStyle w:val="Tijeloteksta"/>
        <w:spacing w:line="276" w:lineRule="auto"/>
        <w:rPr>
          <w:rFonts w:ascii="Calibri" w:hAnsi="Calibri"/>
          <w:sz w:val="18"/>
          <w:szCs w:val="18"/>
        </w:rPr>
      </w:pPr>
    </w:p>
    <w:p w14:paraId="40556699" w14:textId="77777777" w:rsidR="009B3684" w:rsidRDefault="009B3684" w:rsidP="00D86C20">
      <w:pPr>
        <w:pStyle w:val="Tijeloteksta"/>
        <w:spacing w:line="276" w:lineRule="auto"/>
        <w:rPr>
          <w:rFonts w:ascii="Calibri" w:hAnsi="Calibri"/>
          <w:sz w:val="18"/>
          <w:szCs w:val="18"/>
        </w:rPr>
      </w:pPr>
    </w:p>
    <w:p w14:paraId="6E27173E" w14:textId="77777777" w:rsidR="009B3684" w:rsidRDefault="009B3684" w:rsidP="00D86C20">
      <w:pPr>
        <w:pStyle w:val="Tijeloteksta"/>
        <w:spacing w:line="276" w:lineRule="auto"/>
        <w:rPr>
          <w:rFonts w:ascii="Calibri" w:hAnsi="Calibri"/>
          <w:sz w:val="18"/>
          <w:szCs w:val="18"/>
        </w:rPr>
      </w:pPr>
    </w:p>
    <w:p w14:paraId="206D8CE7" w14:textId="77777777" w:rsidR="005F1926" w:rsidRDefault="005F1926" w:rsidP="00D86C20">
      <w:pPr>
        <w:pStyle w:val="Tijeloteksta"/>
        <w:spacing w:line="276" w:lineRule="auto"/>
        <w:rPr>
          <w:rFonts w:ascii="Calibri" w:hAnsi="Calibri"/>
          <w:sz w:val="18"/>
          <w:szCs w:val="18"/>
        </w:rPr>
      </w:pPr>
    </w:p>
    <w:p w14:paraId="536B056A" w14:textId="77777777" w:rsidR="00BD3C4B" w:rsidRPr="0019558A" w:rsidRDefault="00BD3C4B" w:rsidP="00BE4A15">
      <w:pPr>
        <w:spacing w:before="240" w:line="276" w:lineRule="auto"/>
        <w:jc w:val="both"/>
        <w:rPr>
          <w:rFonts w:ascii="Times New Roman" w:hAnsi="Times New Roman" w:cs="Times New Roman"/>
          <w:sz w:val="24"/>
          <w:szCs w:val="24"/>
        </w:rPr>
      </w:pPr>
    </w:p>
    <w:p w14:paraId="074015C5" w14:textId="45AF94F4" w:rsidR="00E444DA" w:rsidRPr="00D2161D" w:rsidRDefault="00BD5F72" w:rsidP="006020DB">
      <w:pPr>
        <w:pStyle w:val="Naslov1"/>
        <w:numPr>
          <w:ilvl w:val="0"/>
          <w:numId w:val="32"/>
        </w:numPr>
        <w:spacing w:line="276" w:lineRule="auto"/>
      </w:pPr>
      <w:bookmarkStart w:id="4" w:name="_Toc149821410"/>
      <w:r w:rsidRPr="00D2161D">
        <w:lastRenderedPageBreak/>
        <w:t>SWOT ANALIZA</w:t>
      </w:r>
      <w:bookmarkEnd w:id="4"/>
    </w:p>
    <w:p w14:paraId="360A0671" w14:textId="646CCFA6" w:rsidR="00D47073" w:rsidRDefault="0019558A" w:rsidP="003B53F4">
      <w:pPr>
        <w:spacing w:before="60" w:after="0" w:line="276" w:lineRule="auto"/>
        <w:jc w:val="both"/>
        <w:rPr>
          <w:rFonts w:ascii="Times New Roman" w:hAnsi="Times New Roman" w:cs="Times New Roman"/>
          <w:sz w:val="24"/>
          <w:szCs w:val="24"/>
        </w:rPr>
      </w:pPr>
      <w:r>
        <w:rPr>
          <w:rFonts w:ascii="Times New Roman" w:hAnsi="Times New Roman" w:cs="Times New Roman"/>
          <w:sz w:val="24"/>
          <w:szCs w:val="24"/>
        </w:rPr>
        <w:t>Strateško planiranje te utvrđivanje strateških ciljeva temelji se i na provednoj SWOT analizi kojom su utvrđene i prepoznate snage/slabosti te prilike/prijetnje kojima je Društvo izloženo kroz poslovanje, a koja je prikazana u nižoj tabeli.</w:t>
      </w:r>
    </w:p>
    <w:p w14:paraId="34EE9BF2" w14:textId="77777777" w:rsidR="00C97F20" w:rsidRPr="000A2EE0" w:rsidRDefault="00C97F20" w:rsidP="003B53F4">
      <w:pPr>
        <w:spacing w:before="60" w:after="0" w:line="276" w:lineRule="auto"/>
        <w:jc w:val="both"/>
        <w:rPr>
          <w:rFonts w:ascii="Times New Roman" w:hAnsi="Times New Roman" w:cs="Times New Roman"/>
          <w:sz w:val="24"/>
          <w:szCs w:val="24"/>
        </w:rPr>
      </w:pPr>
    </w:p>
    <w:p w14:paraId="2694CE05" w14:textId="7D7B1A3A" w:rsidR="000921BB" w:rsidRPr="00D47073" w:rsidRDefault="00D47073" w:rsidP="003B53F4">
      <w:pPr>
        <w:spacing w:before="60" w:after="0" w:line="276" w:lineRule="auto"/>
        <w:jc w:val="both"/>
        <w:rPr>
          <w:rFonts w:ascii="Times New Roman" w:hAnsi="Times New Roman" w:cs="Times New Roman"/>
          <w:i/>
          <w:iCs/>
          <w:sz w:val="24"/>
          <w:szCs w:val="24"/>
        </w:rPr>
      </w:pPr>
      <w:r w:rsidRPr="00D47073">
        <w:rPr>
          <w:rFonts w:ascii="Times New Roman" w:hAnsi="Times New Roman" w:cs="Times New Roman"/>
          <w:i/>
          <w:iCs/>
          <w:sz w:val="24"/>
          <w:szCs w:val="24"/>
        </w:rPr>
        <w:t xml:space="preserve">Tablica </w:t>
      </w:r>
      <w:r w:rsidR="00CF5682">
        <w:rPr>
          <w:rFonts w:ascii="Times New Roman" w:hAnsi="Times New Roman" w:cs="Times New Roman"/>
          <w:i/>
          <w:iCs/>
          <w:sz w:val="24"/>
          <w:szCs w:val="24"/>
        </w:rPr>
        <w:t>2</w:t>
      </w:r>
      <w:r w:rsidRPr="00D47073">
        <w:rPr>
          <w:rFonts w:ascii="Times New Roman" w:hAnsi="Times New Roman" w:cs="Times New Roman"/>
          <w:i/>
          <w:iCs/>
          <w:sz w:val="24"/>
          <w:szCs w:val="24"/>
        </w:rPr>
        <w:t>. SWOT analiza</w:t>
      </w:r>
      <w:r w:rsidR="0019558A">
        <w:rPr>
          <w:rFonts w:ascii="Times New Roman" w:hAnsi="Times New Roman" w:cs="Times New Roman"/>
          <w:i/>
          <w:iCs/>
          <w:sz w:val="24"/>
          <w:szCs w:val="24"/>
        </w:rPr>
        <w:t xml:space="preserve"> GKP ČAKOM d.o.o.</w:t>
      </w:r>
    </w:p>
    <w:tbl>
      <w:tblPr>
        <w:tblStyle w:val="Svijetlareetkatablice1"/>
        <w:tblW w:w="5244" w:type="pct"/>
        <w:tblInd w:w="-150" w:type="dxa"/>
        <w:tblBorders>
          <w:top w:val="single" w:sz="6" w:space="0" w:color="auto"/>
          <w:left w:val="single" w:sz="6" w:space="0" w:color="auto"/>
          <w:bottom w:val="single" w:sz="6" w:space="0" w:color="auto"/>
          <w:right w:val="single" w:sz="6" w:space="0" w:color="auto"/>
        </w:tblBorders>
        <w:tblLook w:val="0420" w:firstRow="1" w:lastRow="0" w:firstColumn="0" w:lastColumn="0" w:noHBand="0" w:noVBand="1"/>
      </w:tblPr>
      <w:tblGrid>
        <w:gridCol w:w="4396"/>
        <w:gridCol w:w="5102"/>
      </w:tblGrid>
      <w:tr w:rsidR="000921BB" w:rsidRPr="000A2EE0" w14:paraId="140FC20D" w14:textId="77777777" w:rsidTr="00980457">
        <w:tc>
          <w:tcPr>
            <w:tcW w:w="2314" w:type="pct"/>
            <w:shd w:val="clear" w:color="auto" w:fill="A8D08D" w:themeFill="accent6" w:themeFillTint="99"/>
            <w:hideMark/>
          </w:tcPr>
          <w:p w14:paraId="5D94BDAF" w14:textId="77777777" w:rsidR="000921BB" w:rsidRPr="000A2EE0" w:rsidRDefault="000921BB" w:rsidP="003B53F4">
            <w:pPr>
              <w:spacing w:before="60" w:line="276" w:lineRule="auto"/>
              <w:jc w:val="both"/>
              <w:rPr>
                <w:rFonts w:ascii="Times New Roman" w:hAnsi="Times New Roman"/>
                <w:sz w:val="24"/>
                <w:szCs w:val="24"/>
              </w:rPr>
            </w:pPr>
            <w:r w:rsidRPr="000A2EE0">
              <w:rPr>
                <w:rFonts w:ascii="Times New Roman" w:hAnsi="Times New Roman"/>
                <w:b/>
                <w:bCs/>
                <w:sz w:val="24"/>
                <w:szCs w:val="24"/>
              </w:rPr>
              <w:t>SNAGE</w:t>
            </w:r>
          </w:p>
        </w:tc>
        <w:tc>
          <w:tcPr>
            <w:tcW w:w="2686" w:type="pct"/>
            <w:shd w:val="clear" w:color="auto" w:fill="A8D08D" w:themeFill="accent6" w:themeFillTint="99"/>
            <w:hideMark/>
          </w:tcPr>
          <w:p w14:paraId="2E3DCDDF" w14:textId="77777777" w:rsidR="000921BB" w:rsidRPr="000A2EE0" w:rsidRDefault="000921BB" w:rsidP="003B53F4">
            <w:pPr>
              <w:spacing w:before="60" w:line="276" w:lineRule="auto"/>
              <w:jc w:val="both"/>
              <w:rPr>
                <w:rFonts w:ascii="Times New Roman" w:hAnsi="Times New Roman"/>
                <w:sz w:val="24"/>
                <w:szCs w:val="24"/>
              </w:rPr>
            </w:pPr>
            <w:r w:rsidRPr="000A2EE0">
              <w:rPr>
                <w:rFonts w:ascii="Times New Roman" w:hAnsi="Times New Roman"/>
                <w:b/>
                <w:bCs/>
                <w:sz w:val="24"/>
                <w:szCs w:val="24"/>
              </w:rPr>
              <w:t>SLABOSTI</w:t>
            </w:r>
          </w:p>
        </w:tc>
      </w:tr>
      <w:tr w:rsidR="000921BB" w:rsidRPr="000A2EE0" w14:paraId="6494B2BD" w14:textId="77777777" w:rsidTr="00D71B06">
        <w:trPr>
          <w:trHeight w:val="2464"/>
        </w:trPr>
        <w:tc>
          <w:tcPr>
            <w:tcW w:w="2314" w:type="pct"/>
            <w:tcBorders>
              <w:bottom w:val="single" w:sz="6" w:space="0" w:color="auto"/>
            </w:tcBorders>
            <w:hideMark/>
          </w:tcPr>
          <w:p w14:paraId="3B941EA0" w14:textId="77777777"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 xml:space="preserve">Ljudski resursi </w:t>
            </w:r>
          </w:p>
          <w:p w14:paraId="3C67B8EA" w14:textId="77777777"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Visoka usklađenost sa zakonskim propisima</w:t>
            </w:r>
          </w:p>
          <w:p w14:paraId="722DCC36" w14:textId="77777777"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Visoka kvaliteta usluge</w:t>
            </w:r>
          </w:p>
          <w:p w14:paraId="62002056" w14:textId="77777777"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Ulaganje u nove ekološke tehnologije</w:t>
            </w:r>
          </w:p>
          <w:p w14:paraId="39E572A9" w14:textId="77777777" w:rsidR="000921BB" w:rsidRPr="00B96E39" w:rsidRDefault="000921BB" w:rsidP="003B53F4">
            <w:pPr>
              <w:spacing w:before="60" w:line="276" w:lineRule="auto"/>
              <w:jc w:val="both"/>
              <w:rPr>
                <w:rFonts w:ascii="Times New Roman" w:hAnsi="Times New Roman"/>
                <w:sz w:val="22"/>
                <w:szCs w:val="22"/>
              </w:rPr>
            </w:pPr>
          </w:p>
        </w:tc>
        <w:tc>
          <w:tcPr>
            <w:tcW w:w="2686" w:type="pct"/>
            <w:tcBorders>
              <w:bottom w:val="single" w:sz="6" w:space="0" w:color="auto"/>
            </w:tcBorders>
            <w:hideMark/>
          </w:tcPr>
          <w:p w14:paraId="326C9B0E" w14:textId="77777777"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Niska prosječna plaća radnika</w:t>
            </w:r>
          </w:p>
          <w:p w14:paraId="0B8543E0" w14:textId="77777777"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Porast starosne dobi radnika</w:t>
            </w:r>
          </w:p>
          <w:p w14:paraId="1289AF69" w14:textId="77777777"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Relativno niska naobrazba radnika</w:t>
            </w:r>
          </w:p>
          <w:p w14:paraId="471B0A1D" w14:textId="2296F140"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Relativno visoka starost strojeva i oprem</w:t>
            </w:r>
            <w:r w:rsidR="00497DFA">
              <w:rPr>
                <w:rFonts w:ascii="Times New Roman" w:hAnsi="Times New Roman"/>
                <w:sz w:val="24"/>
                <w:szCs w:val="24"/>
              </w:rPr>
              <w:t>e</w:t>
            </w:r>
          </w:p>
          <w:p w14:paraId="735FD280" w14:textId="77777777"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Tržišna ograničenost poslovanja (unutar Međimurske županije)</w:t>
            </w:r>
          </w:p>
          <w:p w14:paraId="3E1B5BC8" w14:textId="77777777" w:rsidR="000921BB" w:rsidRPr="0019558A" w:rsidRDefault="000921BB" w:rsidP="00B96E39">
            <w:pPr>
              <w:pStyle w:val="Odlomakpopisa"/>
              <w:numPr>
                <w:ilvl w:val="0"/>
                <w:numId w:val="7"/>
              </w:numPr>
              <w:spacing w:before="60"/>
              <w:jc w:val="both"/>
              <w:rPr>
                <w:rFonts w:ascii="Times New Roman" w:hAnsi="Times New Roman"/>
                <w:sz w:val="24"/>
                <w:szCs w:val="24"/>
              </w:rPr>
            </w:pPr>
            <w:r w:rsidRPr="0019558A">
              <w:rPr>
                <w:rFonts w:ascii="Times New Roman" w:hAnsi="Times New Roman"/>
                <w:sz w:val="24"/>
                <w:szCs w:val="24"/>
              </w:rPr>
              <w:t>Nedostatak radne snage</w:t>
            </w:r>
          </w:p>
          <w:p w14:paraId="2DA66C47" w14:textId="63BFF37E" w:rsidR="000921BB" w:rsidRPr="00B96E39" w:rsidRDefault="000921BB" w:rsidP="00D71B06">
            <w:pPr>
              <w:pStyle w:val="Odlomakpopisa"/>
              <w:numPr>
                <w:ilvl w:val="0"/>
                <w:numId w:val="7"/>
              </w:numPr>
              <w:spacing w:before="60" w:line="276" w:lineRule="auto"/>
              <w:jc w:val="both"/>
              <w:rPr>
                <w:rFonts w:ascii="Times New Roman" w:hAnsi="Times New Roman"/>
                <w:sz w:val="22"/>
                <w:szCs w:val="22"/>
              </w:rPr>
            </w:pPr>
            <w:r w:rsidRPr="0019558A">
              <w:rPr>
                <w:rFonts w:ascii="Times New Roman" w:hAnsi="Times New Roman"/>
                <w:sz w:val="24"/>
                <w:szCs w:val="24"/>
              </w:rPr>
              <w:t>Nedostatak financijskih resursa za osiguranje materijalnih</w:t>
            </w:r>
            <w:r w:rsidR="00D71B06" w:rsidRPr="0019558A">
              <w:rPr>
                <w:rFonts w:ascii="Times New Roman" w:hAnsi="Times New Roman"/>
                <w:sz w:val="24"/>
                <w:szCs w:val="24"/>
              </w:rPr>
              <w:t xml:space="preserve"> resursa</w:t>
            </w:r>
          </w:p>
        </w:tc>
      </w:tr>
      <w:tr w:rsidR="000921BB" w:rsidRPr="000A2EE0" w14:paraId="6734991C" w14:textId="77777777" w:rsidTr="00980457">
        <w:tc>
          <w:tcPr>
            <w:tcW w:w="2314" w:type="pct"/>
            <w:tcBorders>
              <w:top w:val="single" w:sz="6" w:space="0" w:color="auto"/>
              <w:bottom w:val="single" w:sz="4" w:space="0" w:color="BFBFBF" w:themeColor="background1" w:themeShade="BF"/>
            </w:tcBorders>
            <w:shd w:val="clear" w:color="auto" w:fill="A8D08D" w:themeFill="accent6" w:themeFillTint="99"/>
            <w:hideMark/>
          </w:tcPr>
          <w:p w14:paraId="28B0EB9E" w14:textId="3132325F" w:rsidR="00B96E39" w:rsidRPr="00B96E39" w:rsidRDefault="000921BB" w:rsidP="00B96E39">
            <w:pPr>
              <w:spacing w:before="60" w:line="276" w:lineRule="auto"/>
              <w:jc w:val="both"/>
              <w:rPr>
                <w:rFonts w:ascii="Times New Roman" w:hAnsi="Times New Roman"/>
                <w:sz w:val="24"/>
                <w:szCs w:val="24"/>
              </w:rPr>
            </w:pPr>
            <w:r w:rsidRPr="000A2EE0">
              <w:rPr>
                <w:rFonts w:ascii="Times New Roman" w:hAnsi="Times New Roman"/>
                <w:b/>
                <w:bCs/>
                <w:sz w:val="24"/>
                <w:szCs w:val="24"/>
              </w:rPr>
              <w:t>PRILIKE</w:t>
            </w:r>
          </w:p>
          <w:p w14:paraId="3799D96C" w14:textId="50549696" w:rsidR="00B96E39" w:rsidRPr="00B96E39" w:rsidRDefault="00B96E39" w:rsidP="00B96E39">
            <w:pPr>
              <w:rPr>
                <w:rFonts w:ascii="Times New Roman" w:hAnsi="Times New Roman"/>
                <w:sz w:val="24"/>
                <w:szCs w:val="24"/>
              </w:rPr>
            </w:pPr>
          </w:p>
        </w:tc>
        <w:tc>
          <w:tcPr>
            <w:tcW w:w="2686" w:type="pct"/>
            <w:tcBorders>
              <w:top w:val="single" w:sz="6" w:space="0" w:color="auto"/>
              <w:bottom w:val="single" w:sz="4" w:space="0" w:color="BFBFBF" w:themeColor="background1" w:themeShade="BF"/>
            </w:tcBorders>
            <w:shd w:val="clear" w:color="auto" w:fill="A8D08D" w:themeFill="accent6" w:themeFillTint="99"/>
            <w:hideMark/>
          </w:tcPr>
          <w:p w14:paraId="2436D921" w14:textId="77777777" w:rsidR="000921BB" w:rsidRPr="000A2EE0" w:rsidRDefault="000921BB" w:rsidP="003B53F4">
            <w:pPr>
              <w:spacing w:before="60" w:line="276" w:lineRule="auto"/>
              <w:jc w:val="both"/>
              <w:rPr>
                <w:rFonts w:ascii="Times New Roman" w:hAnsi="Times New Roman"/>
                <w:sz w:val="24"/>
                <w:szCs w:val="24"/>
              </w:rPr>
            </w:pPr>
            <w:r w:rsidRPr="000A2EE0">
              <w:rPr>
                <w:rFonts w:ascii="Times New Roman" w:hAnsi="Times New Roman"/>
                <w:b/>
                <w:bCs/>
                <w:sz w:val="24"/>
                <w:szCs w:val="24"/>
              </w:rPr>
              <w:t>PRIJETNJE</w:t>
            </w:r>
          </w:p>
        </w:tc>
      </w:tr>
      <w:tr w:rsidR="000921BB" w:rsidRPr="000A2EE0" w14:paraId="0977BDC9" w14:textId="77777777" w:rsidTr="00D71B06">
        <w:trPr>
          <w:trHeight w:val="3402"/>
        </w:trPr>
        <w:tc>
          <w:tcPr>
            <w:tcW w:w="2314" w:type="pct"/>
            <w:tcBorders>
              <w:top w:val="single" w:sz="4" w:space="0" w:color="BFBFBF" w:themeColor="background1" w:themeShade="BF"/>
            </w:tcBorders>
            <w:hideMark/>
          </w:tcPr>
          <w:p w14:paraId="67E2A402"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Korištenje poticajnih sredstava za nabavu oprema i zapošljavanje</w:t>
            </w:r>
          </w:p>
          <w:p w14:paraId="7CBABC96" w14:textId="77777777" w:rsidR="000921BB"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Nove tehnologije</w:t>
            </w:r>
          </w:p>
          <w:p w14:paraId="59D86842" w14:textId="6E686B8C" w:rsidR="00DC70BB" w:rsidRPr="00F25F26" w:rsidRDefault="00DC70BB" w:rsidP="00B96E39">
            <w:pPr>
              <w:pStyle w:val="Odlomakpopisa"/>
              <w:numPr>
                <w:ilvl w:val="0"/>
                <w:numId w:val="7"/>
              </w:numPr>
              <w:jc w:val="both"/>
              <w:rPr>
                <w:rFonts w:ascii="Times New Roman" w:hAnsi="Times New Roman"/>
                <w:sz w:val="24"/>
                <w:szCs w:val="24"/>
              </w:rPr>
            </w:pPr>
            <w:r w:rsidRPr="00F25F26">
              <w:rPr>
                <w:rFonts w:ascii="Times New Roman" w:hAnsi="Times New Roman"/>
                <w:sz w:val="24"/>
                <w:szCs w:val="24"/>
              </w:rPr>
              <w:t>Natječaji za sufinanciranje nabave strojeva i opreme te infrastrukture</w:t>
            </w:r>
          </w:p>
          <w:p w14:paraId="22E1BADC" w14:textId="77777777" w:rsidR="000921BB" w:rsidRPr="000A2EE0" w:rsidRDefault="000921BB" w:rsidP="00B96E39">
            <w:pPr>
              <w:pStyle w:val="Odlomakpopisa"/>
              <w:jc w:val="both"/>
              <w:rPr>
                <w:rFonts w:ascii="Times New Roman" w:hAnsi="Times New Roman"/>
                <w:sz w:val="24"/>
                <w:szCs w:val="24"/>
              </w:rPr>
            </w:pPr>
          </w:p>
          <w:p w14:paraId="48CA40D8" w14:textId="77777777" w:rsidR="000921BB" w:rsidRPr="000A2EE0" w:rsidRDefault="000921BB" w:rsidP="00B96E39">
            <w:pPr>
              <w:jc w:val="both"/>
              <w:rPr>
                <w:rFonts w:ascii="Times New Roman" w:hAnsi="Times New Roman"/>
                <w:sz w:val="24"/>
                <w:szCs w:val="24"/>
              </w:rPr>
            </w:pPr>
          </w:p>
          <w:p w14:paraId="12267DC8" w14:textId="77777777" w:rsidR="000921BB" w:rsidRPr="000A2EE0" w:rsidRDefault="000921BB" w:rsidP="00B96E39">
            <w:pPr>
              <w:jc w:val="both"/>
              <w:rPr>
                <w:rFonts w:ascii="Times New Roman" w:hAnsi="Times New Roman"/>
                <w:sz w:val="24"/>
                <w:szCs w:val="24"/>
              </w:rPr>
            </w:pPr>
          </w:p>
          <w:p w14:paraId="69B416EE" w14:textId="77777777" w:rsidR="000921BB" w:rsidRPr="000A2EE0" w:rsidRDefault="000921BB" w:rsidP="00B96E39">
            <w:pPr>
              <w:tabs>
                <w:tab w:val="left" w:pos="4124"/>
              </w:tabs>
              <w:jc w:val="both"/>
              <w:rPr>
                <w:rFonts w:ascii="Times New Roman" w:hAnsi="Times New Roman"/>
                <w:sz w:val="24"/>
                <w:szCs w:val="24"/>
              </w:rPr>
            </w:pPr>
            <w:r w:rsidRPr="000A2EE0">
              <w:rPr>
                <w:rFonts w:ascii="Times New Roman" w:hAnsi="Times New Roman"/>
                <w:sz w:val="24"/>
                <w:szCs w:val="24"/>
              </w:rPr>
              <w:tab/>
            </w:r>
          </w:p>
          <w:p w14:paraId="3CE087EC" w14:textId="77777777" w:rsidR="000921BB" w:rsidRPr="000A2EE0" w:rsidRDefault="000921BB" w:rsidP="00B96E39">
            <w:pPr>
              <w:jc w:val="both"/>
              <w:rPr>
                <w:rFonts w:ascii="Times New Roman" w:hAnsi="Times New Roman"/>
                <w:sz w:val="24"/>
                <w:szCs w:val="24"/>
              </w:rPr>
            </w:pPr>
          </w:p>
        </w:tc>
        <w:tc>
          <w:tcPr>
            <w:tcW w:w="2686" w:type="pct"/>
            <w:tcBorders>
              <w:top w:val="single" w:sz="4" w:space="0" w:color="BFBFBF" w:themeColor="background1" w:themeShade="BF"/>
            </w:tcBorders>
            <w:hideMark/>
          </w:tcPr>
          <w:p w14:paraId="0CCB2BF3"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Negativno medijsko praćenje</w:t>
            </w:r>
          </w:p>
          <w:p w14:paraId="6961BA21"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Česte promjene zakonskih propisa</w:t>
            </w:r>
          </w:p>
          <w:p w14:paraId="652E6E4F"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Nejednaki uvjeti poslovanja</w:t>
            </w:r>
          </w:p>
          <w:p w14:paraId="414AC33C"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Veliki utjecaj lokalne politike</w:t>
            </w:r>
          </w:p>
          <w:p w14:paraId="6C30BC45"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Usluge se moraju pružiti bez obzira na naplativost (zbog javnog interesa usluge)</w:t>
            </w:r>
          </w:p>
          <w:p w14:paraId="24B39D5A"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Nemogućnost naplate usluge pojedinim naseljima</w:t>
            </w:r>
          </w:p>
          <w:p w14:paraId="19A849F5"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Porezna politika</w:t>
            </w:r>
          </w:p>
          <w:p w14:paraId="682A01AF"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Velika fluktuacija radne snage</w:t>
            </w:r>
          </w:p>
          <w:p w14:paraId="2E8F93EE"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Nedostatak radne snage na tržištu rada</w:t>
            </w:r>
          </w:p>
          <w:p w14:paraId="552AE6E1" w14:textId="77777777" w:rsidR="000921BB" w:rsidRPr="000A2EE0"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Otežano poslovanje i negativan utjecaj na zdravlje zaposlenika povezano s pojavom bioloških opasnosti</w:t>
            </w:r>
          </w:p>
          <w:p w14:paraId="3AD3E375" w14:textId="77777777" w:rsidR="000921BB" w:rsidRDefault="000921BB" w:rsidP="00B96E39">
            <w:pPr>
              <w:pStyle w:val="Odlomakpopisa"/>
              <w:numPr>
                <w:ilvl w:val="0"/>
                <w:numId w:val="7"/>
              </w:numPr>
              <w:jc w:val="both"/>
              <w:rPr>
                <w:rFonts w:ascii="Times New Roman" w:hAnsi="Times New Roman"/>
                <w:sz w:val="24"/>
                <w:szCs w:val="24"/>
              </w:rPr>
            </w:pPr>
            <w:r w:rsidRPr="000A2EE0">
              <w:rPr>
                <w:rFonts w:ascii="Times New Roman" w:hAnsi="Times New Roman"/>
                <w:sz w:val="24"/>
                <w:szCs w:val="24"/>
              </w:rPr>
              <w:t>Porast cijena energenata</w:t>
            </w:r>
          </w:p>
          <w:p w14:paraId="69E82246" w14:textId="29C3ACD2" w:rsidR="00DC70BB" w:rsidRPr="000A2EE0" w:rsidRDefault="00DC70BB" w:rsidP="00B96E39">
            <w:pPr>
              <w:pStyle w:val="Odlomakpopisa"/>
              <w:numPr>
                <w:ilvl w:val="0"/>
                <w:numId w:val="7"/>
              </w:numPr>
              <w:jc w:val="both"/>
              <w:rPr>
                <w:rFonts w:ascii="Times New Roman" w:hAnsi="Times New Roman"/>
                <w:sz w:val="24"/>
                <w:szCs w:val="24"/>
              </w:rPr>
            </w:pPr>
            <w:r w:rsidRPr="00F25F26">
              <w:rPr>
                <w:rFonts w:ascii="Times New Roman" w:hAnsi="Times New Roman"/>
                <w:sz w:val="24"/>
                <w:szCs w:val="24"/>
              </w:rPr>
              <w:t>Rastuća inflacija</w:t>
            </w:r>
          </w:p>
        </w:tc>
      </w:tr>
    </w:tbl>
    <w:p w14:paraId="7F97330D" w14:textId="77777777" w:rsidR="00C97F20" w:rsidRDefault="00C97F20" w:rsidP="003B53F4">
      <w:pPr>
        <w:tabs>
          <w:tab w:val="left" w:pos="3123"/>
        </w:tabs>
        <w:spacing w:line="276" w:lineRule="auto"/>
        <w:jc w:val="both"/>
        <w:rPr>
          <w:rFonts w:ascii="Times New Roman" w:hAnsi="Times New Roman" w:cs="Times New Roman"/>
          <w:b/>
          <w:sz w:val="24"/>
          <w:szCs w:val="24"/>
        </w:rPr>
      </w:pPr>
    </w:p>
    <w:p w14:paraId="2099CCD0" w14:textId="501EA0B8" w:rsidR="00CF529A" w:rsidRDefault="00A535EC" w:rsidP="00811776">
      <w:pPr>
        <w:pStyle w:val="Naslov1"/>
        <w:numPr>
          <w:ilvl w:val="0"/>
          <w:numId w:val="32"/>
        </w:numPr>
        <w:spacing w:line="276" w:lineRule="auto"/>
      </w:pPr>
      <w:bookmarkStart w:id="5" w:name="_Toc149821411"/>
      <w:r>
        <w:t>UPRAVLJANJE RIZICIMA</w:t>
      </w:r>
      <w:bookmarkEnd w:id="5"/>
      <w:r w:rsidR="00B55FA4">
        <w:t xml:space="preserve"> </w:t>
      </w:r>
    </w:p>
    <w:p w14:paraId="153888A0" w14:textId="77777777" w:rsidR="00C97F20" w:rsidRDefault="00C97F20" w:rsidP="008A1AA1">
      <w:pPr>
        <w:spacing w:line="276" w:lineRule="auto"/>
        <w:jc w:val="both"/>
        <w:rPr>
          <w:rFonts w:ascii="Times New Roman" w:hAnsi="Times New Roman" w:cs="Times New Roman"/>
          <w:sz w:val="24"/>
          <w:szCs w:val="24"/>
        </w:rPr>
      </w:pPr>
    </w:p>
    <w:p w14:paraId="0FC2C6E3" w14:textId="478B75B6" w:rsidR="00CB712F" w:rsidRDefault="0026259E" w:rsidP="008A1AA1">
      <w:pPr>
        <w:spacing w:line="276" w:lineRule="auto"/>
        <w:jc w:val="both"/>
        <w:rPr>
          <w:rFonts w:ascii="Times New Roman" w:hAnsi="Times New Roman" w:cs="Times New Roman"/>
          <w:sz w:val="24"/>
          <w:szCs w:val="24"/>
        </w:rPr>
      </w:pPr>
      <w:r w:rsidRPr="008A1AA1">
        <w:rPr>
          <w:rFonts w:ascii="Times New Roman" w:hAnsi="Times New Roman" w:cs="Times New Roman"/>
          <w:sz w:val="24"/>
          <w:szCs w:val="24"/>
        </w:rPr>
        <w:t xml:space="preserve">Proces strateškog planiranja </w:t>
      </w:r>
      <w:r w:rsidR="00497DFA">
        <w:rPr>
          <w:rFonts w:ascii="Times New Roman" w:hAnsi="Times New Roman" w:cs="Times New Roman"/>
          <w:sz w:val="24"/>
          <w:szCs w:val="24"/>
        </w:rPr>
        <w:t xml:space="preserve">uključuje </w:t>
      </w:r>
      <w:r w:rsidRPr="008A1AA1">
        <w:rPr>
          <w:rFonts w:ascii="Times New Roman" w:hAnsi="Times New Roman" w:cs="Times New Roman"/>
          <w:sz w:val="24"/>
          <w:szCs w:val="24"/>
        </w:rPr>
        <w:t>i praćenje te upravljanje rizicima kojima je Društvo izloženo kroz poslovanje</w:t>
      </w:r>
      <w:r w:rsidR="00DD0524">
        <w:rPr>
          <w:rFonts w:ascii="Times New Roman" w:hAnsi="Times New Roman" w:cs="Times New Roman"/>
          <w:sz w:val="24"/>
          <w:szCs w:val="24"/>
        </w:rPr>
        <w:t xml:space="preserve"> te u provedbi strateških ciljeva.</w:t>
      </w:r>
      <w:r w:rsidRPr="008A1AA1">
        <w:rPr>
          <w:rFonts w:ascii="Times New Roman" w:hAnsi="Times New Roman" w:cs="Times New Roman"/>
          <w:sz w:val="24"/>
          <w:szCs w:val="24"/>
        </w:rPr>
        <w:t xml:space="preserve"> </w:t>
      </w:r>
      <w:r w:rsidR="00CF129A" w:rsidRPr="008A1AA1">
        <w:rPr>
          <w:rFonts w:ascii="Times New Roman" w:hAnsi="Times New Roman" w:cs="Times New Roman"/>
          <w:sz w:val="24"/>
          <w:szCs w:val="24"/>
        </w:rPr>
        <w:t xml:space="preserve">GKP ČAKOM d.o.o. ima uspostavljen proces </w:t>
      </w:r>
      <w:r w:rsidR="00CF529A" w:rsidRPr="008A1AA1">
        <w:rPr>
          <w:rFonts w:ascii="Times New Roman" w:hAnsi="Times New Roman" w:cs="Times New Roman"/>
          <w:sz w:val="24"/>
          <w:szCs w:val="24"/>
        </w:rPr>
        <w:t xml:space="preserve">upravljanja rizicima </w:t>
      </w:r>
      <w:r w:rsidR="00CF129A" w:rsidRPr="008A1AA1">
        <w:rPr>
          <w:rFonts w:ascii="Times New Roman" w:hAnsi="Times New Roman" w:cs="Times New Roman"/>
          <w:sz w:val="24"/>
          <w:szCs w:val="24"/>
        </w:rPr>
        <w:t>kroz Integrirani sustav upravljanja kvalitetom, oklišem, zdravljem i sigurnošću</w:t>
      </w:r>
      <w:r w:rsidRPr="008A1AA1">
        <w:rPr>
          <w:rFonts w:ascii="Times New Roman" w:hAnsi="Times New Roman" w:cs="Times New Roman"/>
          <w:sz w:val="24"/>
          <w:szCs w:val="24"/>
        </w:rPr>
        <w:t xml:space="preserve">. </w:t>
      </w:r>
      <w:r w:rsidR="00A67488" w:rsidRPr="00497DFA">
        <w:rPr>
          <w:rFonts w:ascii="Times New Roman" w:hAnsi="Times New Roman" w:cs="Times New Roman"/>
          <w:sz w:val="24"/>
          <w:szCs w:val="24"/>
        </w:rPr>
        <w:t xml:space="preserve">Postupak obuhvaća identifikaciju i ocjenu svih rizika i prilika vezano za kvalitetu, okoliš te zdravlje i sigurnost, uz izdvajanje i praćenje značajnih rizika i prilika koji proizlaze iz prošlih, sadašnjih i planiranih djelatnosti, proizvoda i usluga GKP ČAKOM d.o.o. </w:t>
      </w:r>
      <w:r w:rsidR="00CF129A" w:rsidRPr="00497DFA">
        <w:rPr>
          <w:rFonts w:ascii="Times New Roman" w:hAnsi="Times New Roman" w:cs="Times New Roman"/>
          <w:sz w:val="24"/>
          <w:szCs w:val="24"/>
        </w:rPr>
        <w:t>U uspostavlj</w:t>
      </w:r>
      <w:r w:rsidR="000200A5" w:rsidRPr="00497DFA">
        <w:rPr>
          <w:rFonts w:ascii="Times New Roman" w:hAnsi="Times New Roman" w:cs="Times New Roman"/>
          <w:sz w:val="24"/>
          <w:szCs w:val="24"/>
        </w:rPr>
        <w:t>enom</w:t>
      </w:r>
      <w:r w:rsidR="00CF129A" w:rsidRPr="00497DFA">
        <w:rPr>
          <w:rFonts w:ascii="Times New Roman" w:hAnsi="Times New Roman" w:cs="Times New Roman"/>
          <w:sz w:val="24"/>
          <w:szCs w:val="24"/>
        </w:rPr>
        <w:t xml:space="preserve"> sustav</w:t>
      </w:r>
      <w:r w:rsidR="000200A5" w:rsidRPr="00497DFA">
        <w:rPr>
          <w:rFonts w:ascii="Times New Roman" w:hAnsi="Times New Roman" w:cs="Times New Roman"/>
          <w:sz w:val="24"/>
          <w:szCs w:val="24"/>
        </w:rPr>
        <w:t>u</w:t>
      </w:r>
      <w:r w:rsidR="00CF129A" w:rsidRPr="00497DFA">
        <w:rPr>
          <w:rFonts w:ascii="Times New Roman" w:hAnsi="Times New Roman" w:cs="Times New Roman"/>
          <w:sz w:val="24"/>
          <w:szCs w:val="24"/>
        </w:rPr>
        <w:t xml:space="preserve"> upravljanja rizicima prate se </w:t>
      </w:r>
      <w:r w:rsidR="00CF529A" w:rsidRPr="00497DFA">
        <w:rPr>
          <w:rFonts w:ascii="Times New Roman" w:hAnsi="Times New Roman" w:cs="Times New Roman"/>
          <w:sz w:val="24"/>
          <w:szCs w:val="24"/>
        </w:rPr>
        <w:t>zakonsk</w:t>
      </w:r>
      <w:r w:rsidR="000200A5" w:rsidRPr="00497DFA">
        <w:rPr>
          <w:rFonts w:ascii="Times New Roman" w:hAnsi="Times New Roman" w:cs="Times New Roman"/>
          <w:sz w:val="24"/>
          <w:szCs w:val="24"/>
        </w:rPr>
        <w:t>i</w:t>
      </w:r>
      <w:r w:rsidR="00CF529A" w:rsidRPr="00497DFA">
        <w:rPr>
          <w:rFonts w:ascii="Times New Roman" w:hAnsi="Times New Roman" w:cs="Times New Roman"/>
          <w:sz w:val="24"/>
          <w:szCs w:val="24"/>
        </w:rPr>
        <w:t xml:space="preserve"> zahtjev</w:t>
      </w:r>
      <w:r w:rsidR="000200A5" w:rsidRPr="00497DFA">
        <w:rPr>
          <w:rFonts w:ascii="Times New Roman" w:hAnsi="Times New Roman" w:cs="Times New Roman"/>
          <w:sz w:val="24"/>
          <w:szCs w:val="24"/>
        </w:rPr>
        <w:t>i</w:t>
      </w:r>
      <w:r w:rsidR="00CF129A" w:rsidRPr="00497DFA">
        <w:rPr>
          <w:rFonts w:ascii="Times New Roman" w:hAnsi="Times New Roman" w:cs="Times New Roman"/>
          <w:sz w:val="24"/>
          <w:szCs w:val="24"/>
        </w:rPr>
        <w:t xml:space="preserve">, </w:t>
      </w:r>
      <w:r w:rsidR="00CF529A" w:rsidRPr="00497DFA">
        <w:rPr>
          <w:rFonts w:ascii="Times New Roman" w:hAnsi="Times New Roman" w:cs="Times New Roman"/>
          <w:sz w:val="24"/>
          <w:szCs w:val="24"/>
        </w:rPr>
        <w:t>identifi</w:t>
      </w:r>
      <w:r w:rsidR="00CF129A" w:rsidRPr="00497DFA">
        <w:rPr>
          <w:rFonts w:ascii="Times New Roman" w:hAnsi="Times New Roman" w:cs="Times New Roman"/>
          <w:sz w:val="24"/>
          <w:szCs w:val="24"/>
        </w:rPr>
        <w:t xml:space="preserve">ciraju se </w:t>
      </w:r>
      <w:r w:rsidR="00CF529A" w:rsidRPr="008A1AA1">
        <w:rPr>
          <w:rFonts w:ascii="Times New Roman" w:hAnsi="Times New Roman" w:cs="Times New Roman"/>
          <w:sz w:val="24"/>
          <w:szCs w:val="24"/>
        </w:rPr>
        <w:t>rizi</w:t>
      </w:r>
      <w:r w:rsidR="00CF129A" w:rsidRPr="008A1AA1">
        <w:rPr>
          <w:rFonts w:ascii="Times New Roman" w:hAnsi="Times New Roman" w:cs="Times New Roman"/>
          <w:sz w:val="24"/>
          <w:szCs w:val="24"/>
        </w:rPr>
        <w:t>ci</w:t>
      </w:r>
      <w:r w:rsidR="00CF529A" w:rsidRPr="008A1AA1">
        <w:rPr>
          <w:rFonts w:ascii="Times New Roman" w:hAnsi="Times New Roman" w:cs="Times New Roman"/>
          <w:sz w:val="24"/>
          <w:szCs w:val="24"/>
        </w:rPr>
        <w:t xml:space="preserve"> i prilik</w:t>
      </w:r>
      <w:r w:rsidR="00CF129A" w:rsidRPr="008A1AA1">
        <w:rPr>
          <w:rFonts w:ascii="Times New Roman" w:hAnsi="Times New Roman" w:cs="Times New Roman"/>
          <w:sz w:val="24"/>
          <w:szCs w:val="24"/>
        </w:rPr>
        <w:t>e</w:t>
      </w:r>
      <w:r w:rsidR="00CF529A" w:rsidRPr="008A1AA1">
        <w:rPr>
          <w:rFonts w:ascii="Times New Roman" w:hAnsi="Times New Roman" w:cs="Times New Roman"/>
          <w:sz w:val="24"/>
          <w:szCs w:val="24"/>
        </w:rPr>
        <w:t xml:space="preserve"> na kvalitetu, okoliš</w:t>
      </w:r>
      <w:r w:rsidR="000200A5" w:rsidRPr="008A1AA1">
        <w:rPr>
          <w:rFonts w:ascii="Times New Roman" w:hAnsi="Times New Roman" w:cs="Times New Roman"/>
          <w:sz w:val="24"/>
          <w:szCs w:val="24"/>
        </w:rPr>
        <w:t xml:space="preserve">, </w:t>
      </w:r>
      <w:r w:rsidR="00CF529A" w:rsidRPr="008A1AA1">
        <w:rPr>
          <w:rFonts w:ascii="Times New Roman" w:hAnsi="Times New Roman" w:cs="Times New Roman"/>
          <w:sz w:val="24"/>
          <w:szCs w:val="24"/>
        </w:rPr>
        <w:t>zdravlje i sigurnost, procjen</w:t>
      </w:r>
      <w:r w:rsidR="00CF129A" w:rsidRPr="008A1AA1">
        <w:rPr>
          <w:rFonts w:ascii="Times New Roman" w:hAnsi="Times New Roman" w:cs="Times New Roman"/>
          <w:sz w:val="24"/>
          <w:szCs w:val="24"/>
        </w:rPr>
        <w:t xml:space="preserve">juju se </w:t>
      </w:r>
      <w:r w:rsidR="00CF529A" w:rsidRPr="008A1AA1">
        <w:rPr>
          <w:rFonts w:ascii="Times New Roman" w:hAnsi="Times New Roman" w:cs="Times New Roman"/>
          <w:sz w:val="24"/>
          <w:szCs w:val="24"/>
        </w:rPr>
        <w:t>rizi</w:t>
      </w:r>
      <w:r w:rsidR="00CF129A" w:rsidRPr="008A1AA1">
        <w:rPr>
          <w:rFonts w:ascii="Times New Roman" w:hAnsi="Times New Roman" w:cs="Times New Roman"/>
          <w:sz w:val="24"/>
          <w:szCs w:val="24"/>
        </w:rPr>
        <w:t>ci</w:t>
      </w:r>
      <w:r w:rsidR="00CF529A" w:rsidRPr="008A1AA1">
        <w:rPr>
          <w:rFonts w:ascii="Times New Roman" w:hAnsi="Times New Roman" w:cs="Times New Roman"/>
          <w:sz w:val="24"/>
          <w:szCs w:val="24"/>
        </w:rPr>
        <w:t xml:space="preserve"> i prilik</w:t>
      </w:r>
      <w:r w:rsidR="00CF129A" w:rsidRPr="008A1AA1">
        <w:rPr>
          <w:rFonts w:ascii="Times New Roman" w:hAnsi="Times New Roman" w:cs="Times New Roman"/>
          <w:sz w:val="24"/>
          <w:szCs w:val="24"/>
        </w:rPr>
        <w:t>e</w:t>
      </w:r>
      <w:r w:rsidR="00CF529A" w:rsidRPr="008A1AA1">
        <w:rPr>
          <w:rFonts w:ascii="Times New Roman" w:hAnsi="Times New Roman" w:cs="Times New Roman"/>
          <w:sz w:val="24"/>
          <w:szCs w:val="24"/>
        </w:rPr>
        <w:t>,</w:t>
      </w:r>
      <w:r w:rsidR="00CF129A" w:rsidRPr="008A1AA1">
        <w:rPr>
          <w:rFonts w:ascii="Times New Roman" w:hAnsi="Times New Roman" w:cs="Times New Roman"/>
          <w:sz w:val="24"/>
          <w:szCs w:val="24"/>
        </w:rPr>
        <w:t xml:space="preserve"> definiraju se </w:t>
      </w:r>
      <w:r w:rsidR="00CF129A" w:rsidRPr="008A1AA1">
        <w:rPr>
          <w:rFonts w:ascii="Times New Roman" w:hAnsi="Times New Roman" w:cs="Times New Roman"/>
          <w:sz w:val="24"/>
          <w:szCs w:val="24"/>
        </w:rPr>
        <w:lastRenderedPageBreak/>
        <w:t>d</w:t>
      </w:r>
      <w:r w:rsidR="00CF529A" w:rsidRPr="008A1AA1">
        <w:rPr>
          <w:rFonts w:ascii="Times New Roman" w:hAnsi="Times New Roman" w:cs="Times New Roman"/>
          <w:sz w:val="24"/>
          <w:szCs w:val="24"/>
        </w:rPr>
        <w:t>odatn</w:t>
      </w:r>
      <w:r w:rsidR="00CF129A" w:rsidRPr="008A1AA1">
        <w:rPr>
          <w:rFonts w:ascii="Times New Roman" w:hAnsi="Times New Roman" w:cs="Times New Roman"/>
          <w:sz w:val="24"/>
          <w:szCs w:val="24"/>
        </w:rPr>
        <w:t>e</w:t>
      </w:r>
      <w:r w:rsidR="00CF529A" w:rsidRPr="008A1AA1">
        <w:rPr>
          <w:rFonts w:ascii="Times New Roman" w:hAnsi="Times New Roman" w:cs="Times New Roman"/>
          <w:sz w:val="24"/>
          <w:szCs w:val="24"/>
        </w:rPr>
        <w:t xml:space="preserve"> mjer</w:t>
      </w:r>
      <w:r w:rsidR="00CF129A" w:rsidRPr="008A1AA1">
        <w:rPr>
          <w:rFonts w:ascii="Times New Roman" w:hAnsi="Times New Roman" w:cs="Times New Roman"/>
          <w:sz w:val="24"/>
          <w:szCs w:val="24"/>
        </w:rPr>
        <w:t>e</w:t>
      </w:r>
      <w:r w:rsidR="00CF529A" w:rsidRPr="008A1AA1">
        <w:rPr>
          <w:rFonts w:ascii="Times New Roman" w:hAnsi="Times New Roman" w:cs="Times New Roman"/>
          <w:sz w:val="24"/>
          <w:szCs w:val="24"/>
        </w:rPr>
        <w:t xml:space="preserve"> kojim</w:t>
      </w:r>
      <w:r w:rsidR="00CF129A" w:rsidRPr="008A1AA1">
        <w:rPr>
          <w:rFonts w:ascii="Times New Roman" w:hAnsi="Times New Roman" w:cs="Times New Roman"/>
          <w:sz w:val="24"/>
          <w:szCs w:val="24"/>
        </w:rPr>
        <w:t>a</w:t>
      </w:r>
      <w:r w:rsidR="00CF529A" w:rsidRPr="008A1AA1">
        <w:rPr>
          <w:rFonts w:ascii="Times New Roman" w:hAnsi="Times New Roman" w:cs="Times New Roman"/>
          <w:sz w:val="24"/>
          <w:szCs w:val="24"/>
        </w:rPr>
        <w:t xml:space="preserve"> bi se smanjili rizici, odnosno povećala iskoristivost prilika</w:t>
      </w:r>
      <w:r w:rsidR="00016572" w:rsidRPr="008A1AA1">
        <w:rPr>
          <w:rFonts w:ascii="Times New Roman" w:hAnsi="Times New Roman" w:cs="Times New Roman"/>
          <w:sz w:val="24"/>
          <w:szCs w:val="24"/>
        </w:rPr>
        <w:t xml:space="preserve">, vrednuju se i </w:t>
      </w:r>
      <w:r w:rsidR="00CF529A" w:rsidRPr="008A1AA1">
        <w:rPr>
          <w:rFonts w:ascii="Times New Roman" w:hAnsi="Times New Roman" w:cs="Times New Roman"/>
          <w:sz w:val="24"/>
          <w:szCs w:val="24"/>
        </w:rPr>
        <w:t>održava</w:t>
      </w:r>
      <w:r w:rsidR="00CF129A" w:rsidRPr="008A1AA1">
        <w:rPr>
          <w:rFonts w:ascii="Times New Roman" w:hAnsi="Times New Roman" w:cs="Times New Roman"/>
          <w:sz w:val="24"/>
          <w:szCs w:val="24"/>
        </w:rPr>
        <w:t>ju</w:t>
      </w:r>
      <w:r w:rsidR="00016572" w:rsidRPr="008A1AA1">
        <w:rPr>
          <w:rFonts w:ascii="Times New Roman" w:hAnsi="Times New Roman" w:cs="Times New Roman"/>
          <w:sz w:val="24"/>
          <w:szCs w:val="24"/>
        </w:rPr>
        <w:t xml:space="preserve"> </w:t>
      </w:r>
      <w:r w:rsidR="00CF529A" w:rsidRPr="008A1AA1">
        <w:rPr>
          <w:rFonts w:ascii="Times New Roman" w:hAnsi="Times New Roman" w:cs="Times New Roman"/>
          <w:sz w:val="24"/>
          <w:szCs w:val="24"/>
        </w:rPr>
        <w:t>zapis</w:t>
      </w:r>
      <w:r w:rsidR="00016572" w:rsidRPr="008A1AA1">
        <w:rPr>
          <w:rFonts w:ascii="Times New Roman" w:hAnsi="Times New Roman" w:cs="Times New Roman"/>
          <w:sz w:val="24"/>
          <w:szCs w:val="24"/>
        </w:rPr>
        <w:t xml:space="preserve">i za sve navedeno. </w:t>
      </w:r>
      <w:r w:rsidR="00CF529A" w:rsidRPr="008A1AA1">
        <w:rPr>
          <w:rFonts w:ascii="Times New Roman" w:hAnsi="Times New Roman" w:cs="Times New Roman"/>
          <w:sz w:val="24"/>
          <w:szCs w:val="24"/>
        </w:rPr>
        <w:t>Za sve značajne rizike i prilike</w:t>
      </w:r>
      <w:r w:rsidR="00B13A17" w:rsidRPr="008A1AA1">
        <w:rPr>
          <w:rFonts w:ascii="Times New Roman" w:hAnsi="Times New Roman" w:cs="Times New Roman"/>
          <w:sz w:val="24"/>
          <w:szCs w:val="24"/>
        </w:rPr>
        <w:t xml:space="preserve"> definirane su mjere kako bi se prepoznate prilike iskoristile, a rizici umanjili ili držali pod nadzorom.</w:t>
      </w:r>
      <w:r w:rsidR="00CF529A" w:rsidRPr="008A1AA1">
        <w:rPr>
          <w:rFonts w:ascii="Times New Roman" w:hAnsi="Times New Roman" w:cs="Times New Roman"/>
          <w:sz w:val="24"/>
          <w:szCs w:val="24"/>
        </w:rPr>
        <w:t xml:space="preserve"> </w:t>
      </w:r>
      <w:r w:rsidR="00DC70BB" w:rsidRPr="008A1AA1">
        <w:rPr>
          <w:rFonts w:ascii="Times New Roman" w:hAnsi="Times New Roman" w:cs="Times New Roman"/>
          <w:sz w:val="24"/>
          <w:szCs w:val="24"/>
        </w:rPr>
        <w:t>Za značajne rizike na kvalitetu, okoliš te zdravlje i sigurnost uspostavljen je i provodi se stalni nadzor koji se planira na godišnjoj razini</w:t>
      </w:r>
      <w:r w:rsidR="008A1AA1" w:rsidRPr="008A1AA1">
        <w:rPr>
          <w:rFonts w:ascii="Times New Roman" w:hAnsi="Times New Roman" w:cs="Times New Roman"/>
          <w:sz w:val="24"/>
          <w:szCs w:val="24"/>
        </w:rPr>
        <w:t>.</w:t>
      </w:r>
      <w:r w:rsidR="00DC70BB" w:rsidRPr="008A1AA1">
        <w:rPr>
          <w:rFonts w:ascii="Times New Roman" w:hAnsi="Times New Roman" w:cs="Times New Roman"/>
          <w:sz w:val="24"/>
          <w:szCs w:val="24"/>
        </w:rPr>
        <w:t xml:space="preserve"> </w:t>
      </w:r>
    </w:p>
    <w:p w14:paraId="21256A9C" w14:textId="77777777" w:rsidR="008A1AA1" w:rsidRPr="008A1AA1" w:rsidRDefault="008A1AA1" w:rsidP="008A1AA1">
      <w:pPr>
        <w:spacing w:line="276" w:lineRule="auto"/>
        <w:jc w:val="both"/>
        <w:rPr>
          <w:rFonts w:ascii="Times New Roman" w:hAnsi="Times New Roman" w:cs="Times New Roman"/>
          <w:sz w:val="24"/>
          <w:szCs w:val="24"/>
        </w:rPr>
      </w:pPr>
    </w:p>
    <w:p w14:paraId="695271D0" w14:textId="6174B2E7" w:rsidR="00E444DA" w:rsidRPr="000A2EE0" w:rsidRDefault="00BD5F72" w:rsidP="006020DB">
      <w:pPr>
        <w:pStyle w:val="Naslov1"/>
        <w:numPr>
          <w:ilvl w:val="0"/>
          <w:numId w:val="32"/>
        </w:numPr>
      </w:pPr>
      <w:bookmarkStart w:id="6" w:name="_Toc149821412"/>
      <w:r w:rsidRPr="006020DB">
        <w:t>DEFINIRANJE CILJEVA STRATEŠKOG UPRAVLJANJA</w:t>
      </w:r>
      <w:bookmarkEnd w:id="6"/>
      <w:r>
        <w:t xml:space="preserve"> </w:t>
      </w:r>
    </w:p>
    <w:p w14:paraId="3867C4D1" w14:textId="644AD718" w:rsidR="00CF5682" w:rsidRPr="00CF5682" w:rsidRDefault="00F403E8" w:rsidP="00577AB9">
      <w:pPr>
        <w:pStyle w:val="Naslov2"/>
      </w:pPr>
      <w:r w:rsidRPr="008B2934">
        <w:rPr>
          <w:rStyle w:val="Naslov2Char"/>
          <w:rFonts w:eastAsiaTheme="minorHAnsi"/>
          <w:b/>
        </w:rPr>
        <w:t xml:space="preserve"> </w:t>
      </w:r>
      <w:bookmarkStart w:id="7" w:name="_Toc149821413"/>
      <w:r w:rsidR="00863CEA" w:rsidRPr="008B2934">
        <w:rPr>
          <w:rStyle w:val="Naslov2Char"/>
          <w:rFonts w:eastAsiaTheme="minorHAnsi"/>
          <w:b/>
        </w:rPr>
        <w:t>Opći</w:t>
      </w:r>
      <w:r w:rsidR="007F5293" w:rsidRPr="008B2934">
        <w:rPr>
          <w:rStyle w:val="Naslov2Char"/>
          <w:rFonts w:eastAsiaTheme="minorHAnsi"/>
          <w:b/>
        </w:rPr>
        <w:t xml:space="preserve"> (strateški )</w:t>
      </w:r>
      <w:r w:rsidR="00863CEA" w:rsidRPr="008B2934">
        <w:rPr>
          <w:rStyle w:val="Naslov2Char"/>
          <w:rFonts w:eastAsiaTheme="minorHAnsi"/>
          <w:b/>
        </w:rPr>
        <w:t xml:space="preserve"> ciljevi</w:t>
      </w:r>
      <w:bookmarkEnd w:id="7"/>
    </w:p>
    <w:p w14:paraId="6046DC85" w14:textId="77777777" w:rsidR="002C17B0" w:rsidRDefault="002C17B0" w:rsidP="006A634D">
      <w:pPr>
        <w:spacing w:line="276" w:lineRule="auto"/>
        <w:jc w:val="both"/>
        <w:rPr>
          <w:rFonts w:ascii="Times New Roman" w:hAnsi="Times New Roman" w:cs="Times New Roman"/>
          <w:sz w:val="24"/>
          <w:szCs w:val="24"/>
        </w:rPr>
      </w:pPr>
    </w:p>
    <w:p w14:paraId="00502977" w14:textId="0E411C72" w:rsidR="007172EF" w:rsidRDefault="007172EF" w:rsidP="006A634D">
      <w:pPr>
        <w:spacing w:line="276" w:lineRule="auto"/>
        <w:jc w:val="both"/>
        <w:rPr>
          <w:rFonts w:ascii="Times New Roman" w:hAnsi="Times New Roman" w:cs="Times New Roman"/>
          <w:sz w:val="24"/>
          <w:szCs w:val="24"/>
        </w:rPr>
      </w:pPr>
      <w:r w:rsidRPr="006A634D">
        <w:rPr>
          <w:rFonts w:ascii="Times New Roman" w:hAnsi="Times New Roman" w:cs="Times New Roman"/>
          <w:sz w:val="24"/>
          <w:szCs w:val="24"/>
        </w:rPr>
        <w:t>Strateškim planom</w:t>
      </w:r>
      <w:r w:rsidR="007F5293" w:rsidRPr="006A634D">
        <w:rPr>
          <w:rFonts w:ascii="Times New Roman" w:hAnsi="Times New Roman" w:cs="Times New Roman"/>
          <w:sz w:val="24"/>
          <w:szCs w:val="24"/>
        </w:rPr>
        <w:t xml:space="preserve"> </w:t>
      </w:r>
      <w:r w:rsidR="00016572" w:rsidRPr="006A634D">
        <w:rPr>
          <w:rFonts w:ascii="Times New Roman" w:hAnsi="Times New Roman" w:cs="Times New Roman"/>
          <w:sz w:val="24"/>
          <w:szCs w:val="24"/>
        </w:rPr>
        <w:t xml:space="preserve">GKP ČAKOM d.o.o. </w:t>
      </w:r>
      <w:r w:rsidR="007F5293" w:rsidRPr="006A634D">
        <w:rPr>
          <w:rFonts w:ascii="Times New Roman" w:hAnsi="Times New Roman" w:cs="Times New Roman"/>
          <w:sz w:val="24"/>
          <w:szCs w:val="24"/>
        </w:rPr>
        <w:t>definira</w:t>
      </w:r>
      <w:r w:rsidRPr="006A634D">
        <w:rPr>
          <w:rFonts w:ascii="Times New Roman" w:hAnsi="Times New Roman" w:cs="Times New Roman"/>
          <w:sz w:val="24"/>
          <w:szCs w:val="24"/>
        </w:rPr>
        <w:t>n</w:t>
      </w:r>
      <w:r w:rsidR="00497DFA">
        <w:rPr>
          <w:rFonts w:ascii="Times New Roman" w:hAnsi="Times New Roman" w:cs="Times New Roman"/>
          <w:sz w:val="24"/>
          <w:szCs w:val="24"/>
        </w:rPr>
        <w:t>a</w:t>
      </w:r>
      <w:r w:rsidRPr="006A634D">
        <w:rPr>
          <w:rFonts w:ascii="Times New Roman" w:hAnsi="Times New Roman" w:cs="Times New Roman"/>
          <w:sz w:val="24"/>
          <w:szCs w:val="24"/>
        </w:rPr>
        <w:t xml:space="preserve"> su</w:t>
      </w:r>
      <w:r w:rsidR="007F5293" w:rsidRPr="006A634D">
        <w:rPr>
          <w:rFonts w:ascii="Times New Roman" w:hAnsi="Times New Roman" w:cs="Times New Roman"/>
          <w:sz w:val="24"/>
          <w:szCs w:val="24"/>
        </w:rPr>
        <w:t xml:space="preserve"> </w:t>
      </w:r>
      <w:r w:rsidR="00497DFA">
        <w:rPr>
          <w:rFonts w:ascii="Times New Roman" w:hAnsi="Times New Roman" w:cs="Times New Roman"/>
          <w:sz w:val="24"/>
          <w:szCs w:val="24"/>
        </w:rPr>
        <w:t xml:space="preserve">tri </w:t>
      </w:r>
      <w:r w:rsidR="007F5293" w:rsidRPr="006A634D">
        <w:rPr>
          <w:rFonts w:ascii="Times New Roman" w:hAnsi="Times New Roman" w:cs="Times New Roman"/>
          <w:sz w:val="24"/>
          <w:szCs w:val="24"/>
        </w:rPr>
        <w:t>opć</w:t>
      </w:r>
      <w:r w:rsidR="00497DFA">
        <w:rPr>
          <w:rFonts w:ascii="Times New Roman" w:hAnsi="Times New Roman" w:cs="Times New Roman"/>
          <w:sz w:val="24"/>
          <w:szCs w:val="24"/>
        </w:rPr>
        <w:t>a</w:t>
      </w:r>
      <w:r w:rsidRPr="006A634D">
        <w:rPr>
          <w:rFonts w:ascii="Times New Roman" w:hAnsi="Times New Roman" w:cs="Times New Roman"/>
          <w:sz w:val="24"/>
          <w:szCs w:val="24"/>
        </w:rPr>
        <w:t>/</w:t>
      </w:r>
      <w:r w:rsidR="007F5293" w:rsidRPr="006A634D">
        <w:rPr>
          <w:rFonts w:ascii="Times New Roman" w:hAnsi="Times New Roman" w:cs="Times New Roman"/>
          <w:sz w:val="24"/>
          <w:szCs w:val="24"/>
        </w:rPr>
        <w:t>stratešk</w:t>
      </w:r>
      <w:r w:rsidR="00497DFA">
        <w:rPr>
          <w:rFonts w:ascii="Times New Roman" w:hAnsi="Times New Roman" w:cs="Times New Roman"/>
          <w:sz w:val="24"/>
          <w:szCs w:val="24"/>
        </w:rPr>
        <w:t>a</w:t>
      </w:r>
      <w:r w:rsidR="007F5293" w:rsidRPr="006A634D">
        <w:rPr>
          <w:rFonts w:ascii="Times New Roman" w:hAnsi="Times New Roman" w:cs="Times New Roman"/>
          <w:sz w:val="24"/>
          <w:szCs w:val="24"/>
        </w:rPr>
        <w:t xml:space="preserve"> cilj</w:t>
      </w:r>
      <w:r w:rsidR="00497DFA">
        <w:rPr>
          <w:rFonts w:ascii="Times New Roman" w:hAnsi="Times New Roman" w:cs="Times New Roman"/>
          <w:sz w:val="24"/>
          <w:szCs w:val="24"/>
        </w:rPr>
        <w:t>a</w:t>
      </w:r>
      <w:r w:rsidRPr="006A634D">
        <w:rPr>
          <w:rFonts w:ascii="Times New Roman" w:hAnsi="Times New Roman" w:cs="Times New Roman"/>
          <w:sz w:val="24"/>
          <w:szCs w:val="24"/>
        </w:rPr>
        <w:t xml:space="preserve"> </w:t>
      </w:r>
      <w:r w:rsidR="00497DFA">
        <w:rPr>
          <w:rFonts w:ascii="Times New Roman" w:hAnsi="Times New Roman" w:cs="Times New Roman"/>
          <w:sz w:val="24"/>
          <w:szCs w:val="24"/>
        </w:rPr>
        <w:t xml:space="preserve">Društva </w:t>
      </w:r>
      <w:r w:rsidRPr="006A634D">
        <w:rPr>
          <w:rFonts w:ascii="Times New Roman" w:hAnsi="Times New Roman" w:cs="Times New Roman"/>
          <w:sz w:val="24"/>
          <w:szCs w:val="24"/>
        </w:rPr>
        <w:t>za promatrano razdoblje 2023.-2026.g.</w:t>
      </w:r>
      <w:r w:rsidR="00497DFA">
        <w:rPr>
          <w:rFonts w:ascii="Times New Roman" w:hAnsi="Times New Roman" w:cs="Times New Roman"/>
          <w:sz w:val="24"/>
          <w:szCs w:val="24"/>
        </w:rPr>
        <w:t xml:space="preserve"> i to: daljnji razvoj sustava gospodarenja otpadom, unaprijediti uvjete rada  </w:t>
      </w:r>
      <w:r w:rsidR="00BD0FA5">
        <w:rPr>
          <w:rFonts w:ascii="Times New Roman" w:hAnsi="Times New Roman" w:cs="Times New Roman"/>
          <w:sz w:val="24"/>
          <w:szCs w:val="24"/>
        </w:rPr>
        <w:t xml:space="preserve">te </w:t>
      </w:r>
      <w:r w:rsidR="00497DFA">
        <w:rPr>
          <w:rFonts w:ascii="Times New Roman" w:hAnsi="Times New Roman" w:cs="Times New Roman"/>
          <w:sz w:val="24"/>
          <w:szCs w:val="24"/>
        </w:rPr>
        <w:t>stabilno i dugoročno održivo poslovanje.</w:t>
      </w:r>
      <w:r w:rsidRPr="006A634D">
        <w:rPr>
          <w:rFonts w:ascii="Times New Roman" w:hAnsi="Times New Roman" w:cs="Times New Roman"/>
          <w:sz w:val="24"/>
          <w:szCs w:val="24"/>
        </w:rPr>
        <w:t xml:space="preserve"> Opći ciljevi o</w:t>
      </w:r>
      <w:r w:rsidR="007F5293" w:rsidRPr="006A634D">
        <w:rPr>
          <w:rFonts w:ascii="Times New Roman" w:hAnsi="Times New Roman" w:cs="Times New Roman"/>
          <w:sz w:val="24"/>
          <w:szCs w:val="24"/>
        </w:rPr>
        <w:t>dređuju jasan i realan smjer djelovanja Društva u skladu sa definiranom misijom i vizijom</w:t>
      </w:r>
      <w:r w:rsidRPr="006A634D">
        <w:rPr>
          <w:rFonts w:ascii="Times New Roman" w:hAnsi="Times New Roman" w:cs="Times New Roman"/>
          <w:sz w:val="24"/>
          <w:szCs w:val="24"/>
        </w:rPr>
        <w:t xml:space="preserve"> i odnose se na </w:t>
      </w:r>
      <w:r w:rsidR="00BD0FA5">
        <w:rPr>
          <w:rFonts w:ascii="Times New Roman" w:hAnsi="Times New Roman" w:cs="Times New Roman"/>
          <w:sz w:val="24"/>
          <w:szCs w:val="24"/>
        </w:rPr>
        <w:t>Društvo</w:t>
      </w:r>
      <w:r w:rsidRPr="006A634D">
        <w:rPr>
          <w:rFonts w:ascii="Times New Roman" w:hAnsi="Times New Roman" w:cs="Times New Roman"/>
          <w:sz w:val="24"/>
          <w:szCs w:val="24"/>
        </w:rPr>
        <w:t xml:space="preserve"> u cjelini. </w:t>
      </w:r>
      <w:r w:rsidR="00016572" w:rsidRPr="006A634D">
        <w:rPr>
          <w:rFonts w:ascii="Times New Roman" w:hAnsi="Times New Roman" w:cs="Times New Roman"/>
          <w:sz w:val="24"/>
          <w:szCs w:val="24"/>
        </w:rPr>
        <w:t xml:space="preserve">Strateško planiranje </w:t>
      </w:r>
      <w:r w:rsidR="00BD0FA5">
        <w:rPr>
          <w:rFonts w:ascii="Times New Roman" w:hAnsi="Times New Roman" w:cs="Times New Roman"/>
          <w:sz w:val="24"/>
          <w:szCs w:val="24"/>
        </w:rPr>
        <w:t xml:space="preserve">temelji se na </w:t>
      </w:r>
      <w:r w:rsidR="00F25F26">
        <w:rPr>
          <w:rFonts w:ascii="Times New Roman" w:hAnsi="Times New Roman" w:cs="Times New Roman"/>
          <w:sz w:val="24"/>
          <w:szCs w:val="24"/>
        </w:rPr>
        <w:t>proveden</w:t>
      </w:r>
      <w:r w:rsidR="00BD0FA5">
        <w:rPr>
          <w:rFonts w:ascii="Times New Roman" w:hAnsi="Times New Roman" w:cs="Times New Roman"/>
          <w:sz w:val="24"/>
          <w:szCs w:val="24"/>
        </w:rPr>
        <w:t xml:space="preserve">oj </w:t>
      </w:r>
      <w:r w:rsidR="000200A5">
        <w:rPr>
          <w:rFonts w:ascii="Times New Roman" w:hAnsi="Times New Roman" w:cs="Times New Roman"/>
          <w:sz w:val="24"/>
          <w:szCs w:val="24"/>
        </w:rPr>
        <w:t>analiz</w:t>
      </w:r>
      <w:r w:rsidR="00BD0FA5">
        <w:rPr>
          <w:rFonts w:ascii="Times New Roman" w:hAnsi="Times New Roman" w:cs="Times New Roman"/>
          <w:sz w:val="24"/>
          <w:szCs w:val="24"/>
        </w:rPr>
        <w:t>i</w:t>
      </w:r>
      <w:r w:rsidR="000200A5">
        <w:rPr>
          <w:rFonts w:ascii="Times New Roman" w:hAnsi="Times New Roman" w:cs="Times New Roman"/>
          <w:sz w:val="24"/>
          <w:szCs w:val="24"/>
        </w:rPr>
        <w:t xml:space="preserve"> </w:t>
      </w:r>
      <w:r w:rsidR="00BD0FA5">
        <w:rPr>
          <w:rFonts w:ascii="Times New Roman" w:hAnsi="Times New Roman" w:cs="Times New Roman"/>
          <w:sz w:val="24"/>
          <w:szCs w:val="24"/>
        </w:rPr>
        <w:t xml:space="preserve">trenutnog </w:t>
      </w:r>
      <w:r w:rsidR="000200A5">
        <w:rPr>
          <w:rFonts w:ascii="Times New Roman" w:hAnsi="Times New Roman" w:cs="Times New Roman"/>
          <w:sz w:val="24"/>
          <w:szCs w:val="24"/>
        </w:rPr>
        <w:t>stanja</w:t>
      </w:r>
      <w:r w:rsidR="00BD0FA5">
        <w:rPr>
          <w:rFonts w:ascii="Times New Roman" w:hAnsi="Times New Roman" w:cs="Times New Roman"/>
          <w:sz w:val="24"/>
          <w:szCs w:val="24"/>
        </w:rPr>
        <w:t xml:space="preserve"> radnih jedinica Društva</w:t>
      </w:r>
      <w:r w:rsidR="00016572" w:rsidRPr="006A634D">
        <w:rPr>
          <w:rFonts w:ascii="Times New Roman" w:hAnsi="Times New Roman" w:cs="Times New Roman"/>
          <w:sz w:val="24"/>
          <w:szCs w:val="24"/>
        </w:rPr>
        <w:t>,</w:t>
      </w:r>
      <w:r w:rsidR="00F25F26">
        <w:rPr>
          <w:rFonts w:ascii="Times New Roman" w:hAnsi="Times New Roman" w:cs="Times New Roman"/>
          <w:sz w:val="24"/>
          <w:szCs w:val="24"/>
        </w:rPr>
        <w:t xml:space="preserve"> financijs</w:t>
      </w:r>
      <w:r w:rsidR="00BD0FA5">
        <w:rPr>
          <w:rFonts w:ascii="Times New Roman" w:hAnsi="Times New Roman" w:cs="Times New Roman"/>
          <w:sz w:val="24"/>
          <w:szCs w:val="24"/>
        </w:rPr>
        <w:t>kom</w:t>
      </w:r>
      <w:r w:rsidR="00F25F26">
        <w:rPr>
          <w:rFonts w:ascii="Times New Roman" w:hAnsi="Times New Roman" w:cs="Times New Roman"/>
          <w:sz w:val="24"/>
          <w:szCs w:val="24"/>
        </w:rPr>
        <w:t xml:space="preserve"> planiranj</w:t>
      </w:r>
      <w:r w:rsidR="00BD0FA5">
        <w:rPr>
          <w:rFonts w:ascii="Times New Roman" w:hAnsi="Times New Roman" w:cs="Times New Roman"/>
          <w:sz w:val="24"/>
          <w:szCs w:val="24"/>
        </w:rPr>
        <w:t>u</w:t>
      </w:r>
      <w:r w:rsidR="00F25F26">
        <w:rPr>
          <w:rFonts w:ascii="Times New Roman" w:hAnsi="Times New Roman" w:cs="Times New Roman"/>
          <w:sz w:val="24"/>
          <w:szCs w:val="24"/>
        </w:rPr>
        <w:t>,</w:t>
      </w:r>
      <w:r w:rsidR="00016572" w:rsidRPr="006A634D">
        <w:rPr>
          <w:rFonts w:ascii="Times New Roman" w:hAnsi="Times New Roman" w:cs="Times New Roman"/>
          <w:sz w:val="24"/>
          <w:szCs w:val="24"/>
        </w:rPr>
        <w:t xml:space="preserve"> iden</w:t>
      </w:r>
      <w:r w:rsidR="000200A5">
        <w:rPr>
          <w:rFonts w:ascii="Times New Roman" w:hAnsi="Times New Roman" w:cs="Times New Roman"/>
          <w:sz w:val="24"/>
          <w:szCs w:val="24"/>
        </w:rPr>
        <w:t>t</w:t>
      </w:r>
      <w:r w:rsidR="00016572" w:rsidRPr="006A634D">
        <w:rPr>
          <w:rFonts w:ascii="Times New Roman" w:hAnsi="Times New Roman" w:cs="Times New Roman"/>
          <w:sz w:val="24"/>
          <w:szCs w:val="24"/>
        </w:rPr>
        <w:t>ificiranju snaga/slabosti te prilika i prijetnji Društva</w:t>
      </w:r>
      <w:r w:rsidR="00F25F26">
        <w:rPr>
          <w:rFonts w:ascii="Times New Roman" w:hAnsi="Times New Roman" w:cs="Times New Roman"/>
          <w:sz w:val="24"/>
          <w:szCs w:val="24"/>
        </w:rPr>
        <w:t xml:space="preserve"> </w:t>
      </w:r>
      <w:r w:rsidR="00F25F26" w:rsidRPr="00CF5EFF">
        <w:rPr>
          <w:rFonts w:ascii="Times New Roman" w:hAnsi="Times New Roman" w:cs="Times New Roman"/>
          <w:sz w:val="24"/>
          <w:szCs w:val="24"/>
        </w:rPr>
        <w:t>(SWOT analiza)</w:t>
      </w:r>
      <w:r w:rsidR="00F25F26">
        <w:rPr>
          <w:rFonts w:ascii="Times New Roman" w:hAnsi="Times New Roman" w:cs="Times New Roman"/>
          <w:sz w:val="24"/>
          <w:szCs w:val="24"/>
        </w:rPr>
        <w:t xml:space="preserve"> te prepoznavanju i upravljanju rizicima.</w:t>
      </w:r>
      <w:r w:rsidR="00016572" w:rsidRPr="006A634D">
        <w:rPr>
          <w:rFonts w:ascii="Times New Roman" w:hAnsi="Times New Roman" w:cs="Times New Roman"/>
          <w:sz w:val="24"/>
          <w:szCs w:val="24"/>
        </w:rPr>
        <w:t xml:space="preserve"> Kod </w:t>
      </w:r>
      <w:r w:rsidR="00497DFA">
        <w:rPr>
          <w:rFonts w:ascii="Times New Roman" w:hAnsi="Times New Roman" w:cs="Times New Roman"/>
          <w:sz w:val="24"/>
          <w:szCs w:val="24"/>
        </w:rPr>
        <w:t>utvrđivanja</w:t>
      </w:r>
      <w:r w:rsidR="00016572" w:rsidRPr="006A634D">
        <w:rPr>
          <w:rFonts w:ascii="Times New Roman" w:hAnsi="Times New Roman" w:cs="Times New Roman"/>
          <w:sz w:val="24"/>
          <w:szCs w:val="24"/>
        </w:rPr>
        <w:t xml:space="preserve"> općih/ strateških ciljeva </w:t>
      </w:r>
      <w:r w:rsidR="00F25F26">
        <w:rPr>
          <w:rFonts w:ascii="Times New Roman" w:hAnsi="Times New Roman" w:cs="Times New Roman"/>
          <w:sz w:val="24"/>
          <w:szCs w:val="24"/>
        </w:rPr>
        <w:t>uvažen je</w:t>
      </w:r>
      <w:r w:rsidR="00016572" w:rsidRPr="006A634D">
        <w:rPr>
          <w:rFonts w:ascii="Times New Roman" w:hAnsi="Times New Roman" w:cs="Times New Roman"/>
          <w:sz w:val="24"/>
          <w:szCs w:val="24"/>
        </w:rPr>
        <w:t xml:space="preserve"> SMART pristup, odnosno ciljevi </w:t>
      </w:r>
      <w:r w:rsidR="002C17B0">
        <w:rPr>
          <w:rFonts w:ascii="Times New Roman" w:hAnsi="Times New Roman" w:cs="Times New Roman"/>
          <w:sz w:val="24"/>
          <w:szCs w:val="24"/>
        </w:rPr>
        <w:t>su</w:t>
      </w:r>
      <w:r w:rsidR="00016572" w:rsidRPr="006A634D">
        <w:rPr>
          <w:rFonts w:ascii="Times New Roman" w:hAnsi="Times New Roman" w:cs="Times New Roman"/>
          <w:sz w:val="24"/>
          <w:szCs w:val="24"/>
        </w:rPr>
        <w:t xml:space="preserve"> specifični/jasni, mjerljivi, ostvarivi, realni i vremenski definirani</w:t>
      </w:r>
      <w:r w:rsidR="00497DFA">
        <w:rPr>
          <w:rFonts w:ascii="Times New Roman" w:hAnsi="Times New Roman" w:cs="Times New Roman"/>
          <w:sz w:val="24"/>
          <w:szCs w:val="24"/>
        </w:rPr>
        <w:t xml:space="preserve">. </w:t>
      </w:r>
    </w:p>
    <w:p w14:paraId="22448ADF" w14:textId="77777777" w:rsidR="00CF5682" w:rsidRPr="006A634D" w:rsidRDefault="00CF5682" w:rsidP="006A634D">
      <w:pPr>
        <w:spacing w:line="276" w:lineRule="auto"/>
        <w:jc w:val="both"/>
        <w:rPr>
          <w:rFonts w:ascii="Times New Roman" w:hAnsi="Times New Roman" w:cs="Times New Roman"/>
          <w:sz w:val="24"/>
          <w:szCs w:val="24"/>
        </w:rPr>
      </w:pPr>
    </w:p>
    <w:p w14:paraId="4951A310" w14:textId="00D91865" w:rsidR="007172EF" w:rsidRDefault="007172EF" w:rsidP="003B53F4">
      <w:pPr>
        <w:spacing w:line="276"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03F7D5B0" wp14:editId="7AB9B5DF">
            <wp:extent cx="5657850" cy="2266950"/>
            <wp:effectExtent l="38100" t="19050" r="19050" b="38100"/>
            <wp:docPr id="1463570074" name="Dij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6E986D5" w14:textId="77777777" w:rsidR="00EF4B60" w:rsidRDefault="00EF4B60" w:rsidP="003B53F4">
      <w:pPr>
        <w:spacing w:line="276" w:lineRule="auto"/>
        <w:jc w:val="both"/>
        <w:rPr>
          <w:rFonts w:ascii="Times New Roman" w:hAnsi="Times New Roman" w:cs="Times New Roman"/>
          <w:sz w:val="24"/>
          <w:szCs w:val="24"/>
        </w:rPr>
      </w:pPr>
    </w:p>
    <w:p w14:paraId="4634C22C" w14:textId="77777777" w:rsidR="00CF5682" w:rsidRDefault="00CF5682" w:rsidP="003B53F4">
      <w:pPr>
        <w:spacing w:line="276" w:lineRule="auto"/>
        <w:jc w:val="both"/>
        <w:rPr>
          <w:rFonts w:ascii="Times New Roman" w:hAnsi="Times New Roman" w:cs="Times New Roman"/>
          <w:sz w:val="24"/>
          <w:szCs w:val="24"/>
        </w:rPr>
      </w:pPr>
    </w:p>
    <w:p w14:paraId="295A58A9" w14:textId="77777777" w:rsidR="00CF5682" w:rsidRDefault="00CF5682" w:rsidP="003B53F4">
      <w:pPr>
        <w:spacing w:line="276" w:lineRule="auto"/>
        <w:jc w:val="both"/>
        <w:rPr>
          <w:rFonts w:ascii="Times New Roman" w:hAnsi="Times New Roman" w:cs="Times New Roman"/>
          <w:sz w:val="24"/>
          <w:szCs w:val="24"/>
        </w:rPr>
      </w:pPr>
    </w:p>
    <w:p w14:paraId="4AEFA853" w14:textId="77777777" w:rsidR="008B2934" w:rsidRDefault="008B2934" w:rsidP="003B53F4">
      <w:pPr>
        <w:spacing w:line="276" w:lineRule="auto"/>
        <w:jc w:val="both"/>
        <w:rPr>
          <w:rFonts w:ascii="Times New Roman" w:hAnsi="Times New Roman" w:cs="Times New Roman"/>
          <w:sz w:val="24"/>
          <w:szCs w:val="24"/>
        </w:rPr>
      </w:pPr>
    </w:p>
    <w:p w14:paraId="2ECC4876" w14:textId="77777777" w:rsidR="00BF0316" w:rsidRDefault="00BF0316" w:rsidP="003B53F4">
      <w:pPr>
        <w:spacing w:line="276" w:lineRule="auto"/>
        <w:jc w:val="both"/>
        <w:rPr>
          <w:rFonts w:ascii="Times New Roman" w:hAnsi="Times New Roman" w:cs="Times New Roman"/>
          <w:sz w:val="24"/>
          <w:szCs w:val="24"/>
        </w:rPr>
      </w:pPr>
    </w:p>
    <w:p w14:paraId="6F5AE079" w14:textId="77777777" w:rsidR="00CF5682" w:rsidRDefault="00CF5682" w:rsidP="003B53F4">
      <w:pPr>
        <w:spacing w:line="276" w:lineRule="auto"/>
        <w:jc w:val="both"/>
        <w:rPr>
          <w:rFonts w:ascii="Times New Roman" w:hAnsi="Times New Roman" w:cs="Times New Roman"/>
          <w:sz w:val="24"/>
          <w:szCs w:val="24"/>
        </w:rPr>
      </w:pPr>
    </w:p>
    <w:p w14:paraId="529F861D" w14:textId="0732E2F7" w:rsidR="007F5293" w:rsidRDefault="00863CEA" w:rsidP="00CF5682">
      <w:pPr>
        <w:pStyle w:val="Naslov2"/>
      </w:pPr>
      <w:bookmarkStart w:id="8" w:name="_Toc149821414"/>
      <w:r>
        <w:lastRenderedPageBreak/>
        <w:t>Posebni ciljevi</w:t>
      </w:r>
      <w:bookmarkEnd w:id="8"/>
    </w:p>
    <w:p w14:paraId="57F500EC" w14:textId="77777777" w:rsidR="007F5293" w:rsidRPr="007F5293" w:rsidRDefault="007F5293" w:rsidP="003B53F4">
      <w:pPr>
        <w:spacing w:line="276" w:lineRule="auto"/>
      </w:pPr>
    </w:p>
    <w:p w14:paraId="0AF62957" w14:textId="4AC61E9B" w:rsidR="00BE24BB" w:rsidRDefault="0028068B" w:rsidP="00446442">
      <w:pPr>
        <w:spacing w:line="276" w:lineRule="auto"/>
        <w:jc w:val="both"/>
        <w:rPr>
          <w:rFonts w:ascii="Times New Roman" w:hAnsi="Times New Roman" w:cs="Times New Roman"/>
          <w:sz w:val="24"/>
          <w:szCs w:val="24"/>
        </w:rPr>
      </w:pPr>
      <w:r w:rsidRPr="00074C28">
        <w:rPr>
          <w:rFonts w:ascii="Times New Roman" w:hAnsi="Times New Roman" w:cs="Times New Roman"/>
          <w:sz w:val="24"/>
          <w:szCs w:val="24"/>
        </w:rPr>
        <w:t>Na t</w:t>
      </w:r>
      <w:r w:rsidR="007F5293" w:rsidRPr="00074C28">
        <w:rPr>
          <w:rFonts w:ascii="Times New Roman" w:hAnsi="Times New Roman" w:cs="Times New Roman"/>
          <w:sz w:val="24"/>
          <w:szCs w:val="24"/>
        </w:rPr>
        <w:t>emelj</w:t>
      </w:r>
      <w:r w:rsidRPr="00074C28">
        <w:rPr>
          <w:rFonts w:ascii="Times New Roman" w:hAnsi="Times New Roman" w:cs="Times New Roman"/>
          <w:sz w:val="24"/>
          <w:szCs w:val="24"/>
        </w:rPr>
        <w:t>u</w:t>
      </w:r>
      <w:r w:rsidR="007F5293" w:rsidRPr="00074C28">
        <w:rPr>
          <w:rFonts w:ascii="Times New Roman" w:hAnsi="Times New Roman" w:cs="Times New Roman"/>
          <w:sz w:val="24"/>
          <w:szCs w:val="24"/>
        </w:rPr>
        <w:t xml:space="preserve"> postavljenih općih</w:t>
      </w:r>
      <w:r w:rsidRPr="00074C28">
        <w:rPr>
          <w:rFonts w:ascii="Times New Roman" w:hAnsi="Times New Roman" w:cs="Times New Roman"/>
          <w:sz w:val="24"/>
          <w:szCs w:val="24"/>
        </w:rPr>
        <w:t>/</w:t>
      </w:r>
      <w:r w:rsidR="007F5293" w:rsidRPr="00074C28">
        <w:rPr>
          <w:rFonts w:ascii="Times New Roman" w:hAnsi="Times New Roman" w:cs="Times New Roman"/>
          <w:sz w:val="24"/>
          <w:szCs w:val="24"/>
        </w:rPr>
        <w:t xml:space="preserve">strateških ciljeva definirani su posebni ciljevi </w:t>
      </w:r>
      <w:r w:rsidR="00446442" w:rsidRPr="00074C28">
        <w:rPr>
          <w:rFonts w:ascii="Times New Roman" w:hAnsi="Times New Roman" w:cs="Times New Roman"/>
          <w:sz w:val="24"/>
          <w:szCs w:val="24"/>
        </w:rPr>
        <w:t xml:space="preserve">GKP ČAKOM d.o.o. za promatrano </w:t>
      </w:r>
      <w:r w:rsidR="00571B13" w:rsidRPr="00074C28">
        <w:rPr>
          <w:rFonts w:ascii="Times New Roman" w:hAnsi="Times New Roman" w:cs="Times New Roman"/>
          <w:sz w:val="24"/>
          <w:szCs w:val="24"/>
        </w:rPr>
        <w:t xml:space="preserve">trogodišnje </w:t>
      </w:r>
      <w:r w:rsidR="00446442" w:rsidRPr="00074C28">
        <w:rPr>
          <w:rFonts w:ascii="Times New Roman" w:hAnsi="Times New Roman" w:cs="Times New Roman"/>
          <w:sz w:val="24"/>
          <w:szCs w:val="24"/>
        </w:rPr>
        <w:t>razdoblje</w:t>
      </w:r>
      <w:r w:rsidR="00571B13" w:rsidRPr="00074C28">
        <w:rPr>
          <w:rFonts w:ascii="Times New Roman" w:hAnsi="Times New Roman" w:cs="Times New Roman"/>
          <w:sz w:val="24"/>
          <w:szCs w:val="24"/>
        </w:rPr>
        <w:t xml:space="preserve"> i prikazani su u tablici u nastavku.</w:t>
      </w:r>
      <w:r w:rsidR="000451BC">
        <w:rPr>
          <w:rFonts w:ascii="Times New Roman" w:hAnsi="Times New Roman" w:cs="Times New Roman"/>
          <w:sz w:val="24"/>
          <w:szCs w:val="24"/>
        </w:rPr>
        <w:t xml:space="preserve"> Za svaki posebni cil</w:t>
      </w:r>
      <w:r w:rsidR="00AD1C20">
        <w:rPr>
          <w:rFonts w:ascii="Times New Roman" w:hAnsi="Times New Roman" w:cs="Times New Roman"/>
          <w:sz w:val="24"/>
          <w:szCs w:val="24"/>
        </w:rPr>
        <w:t xml:space="preserve">j </w:t>
      </w:r>
      <w:r w:rsidR="000451BC">
        <w:rPr>
          <w:rFonts w:ascii="Times New Roman" w:hAnsi="Times New Roman" w:cs="Times New Roman"/>
          <w:sz w:val="24"/>
          <w:szCs w:val="24"/>
        </w:rPr>
        <w:t xml:space="preserve">prikazan je </w:t>
      </w:r>
      <w:r w:rsidR="00AD1C20">
        <w:rPr>
          <w:rFonts w:ascii="Times New Roman" w:hAnsi="Times New Roman" w:cs="Times New Roman"/>
          <w:sz w:val="24"/>
          <w:szCs w:val="24"/>
        </w:rPr>
        <w:t xml:space="preserve">i </w:t>
      </w:r>
      <w:r w:rsidR="000451BC">
        <w:rPr>
          <w:rFonts w:ascii="Times New Roman" w:hAnsi="Times New Roman" w:cs="Times New Roman"/>
          <w:sz w:val="24"/>
          <w:szCs w:val="24"/>
        </w:rPr>
        <w:t xml:space="preserve">opis cilja. </w:t>
      </w:r>
      <w:r w:rsidR="00571B13" w:rsidRPr="00074C28">
        <w:rPr>
          <w:rFonts w:ascii="Times New Roman" w:hAnsi="Times New Roman" w:cs="Times New Roman"/>
          <w:sz w:val="24"/>
          <w:szCs w:val="24"/>
        </w:rPr>
        <w:t xml:space="preserve"> Posebni ciljevi</w:t>
      </w:r>
      <w:r w:rsidR="00BD0FA5">
        <w:rPr>
          <w:rFonts w:ascii="Times New Roman" w:hAnsi="Times New Roman" w:cs="Times New Roman"/>
          <w:sz w:val="24"/>
          <w:szCs w:val="24"/>
        </w:rPr>
        <w:t xml:space="preserve">, u funkciji ostvarenja strateških ciljeva, </w:t>
      </w:r>
      <w:r w:rsidR="00571B13" w:rsidRPr="00074C28">
        <w:rPr>
          <w:rFonts w:ascii="Times New Roman" w:hAnsi="Times New Roman" w:cs="Times New Roman"/>
          <w:sz w:val="24"/>
          <w:szCs w:val="24"/>
        </w:rPr>
        <w:t xml:space="preserve"> predstavljaju očekivane rezultate </w:t>
      </w:r>
      <w:r w:rsidR="002C17B0">
        <w:rPr>
          <w:rFonts w:ascii="Times New Roman" w:hAnsi="Times New Roman" w:cs="Times New Roman"/>
          <w:sz w:val="24"/>
          <w:szCs w:val="24"/>
        </w:rPr>
        <w:t xml:space="preserve">koji se planiraju postići </w:t>
      </w:r>
      <w:r w:rsidR="00584EC4" w:rsidRPr="00074C28">
        <w:rPr>
          <w:rFonts w:ascii="Times New Roman" w:hAnsi="Times New Roman" w:cs="Times New Roman"/>
          <w:sz w:val="24"/>
          <w:szCs w:val="24"/>
        </w:rPr>
        <w:t>kroz provedbu</w:t>
      </w:r>
      <w:r w:rsidR="00571B13" w:rsidRPr="00074C28">
        <w:rPr>
          <w:rFonts w:ascii="Times New Roman" w:hAnsi="Times New Roman" w:cs="Times New Roman"/>
          <w:sz w:val="24"/>
          <w:szCs w:val="24"/>
        </w:rPr>
        <w:t xml:space="preserve"> niza </w:t>
      </w:r>
      <w:r w:rsidR="002C17B0">
        <w:rPr>
          <w:rFonts w:ascii="Times New Roman" w:hAnsi="Times New Roman" w:cs="Times New Roman"/>
          <w:sz w:val="24"/>
          <w:szCs w:val="24"/>
        </w:rPr>
        <w:t xml:space="preserve">operativnih </w:t>
      </w:r>
      <w:r w:rsidR="00571B13" w:rsidRPr="00074C28">
        <w:rPr>
          <w:rFonts w:ascii="Times New Roman" w:hAnsi="Times New Roman" w:cs="Times New Roman"/>
          <w:sz w:val="24"/>
          <w:szCs w:val="24"/>
        </w:rPr>
        <w:t xml:space="preserve">aktivnosti i </w:t>
      </w:r>
      <w:r w:rsidR="007F5293" w:rsidRPr="00074C28">
        <w:rPr>
          <w:rFonts w:ascii="Times New Roman" w:hAnsi="Times New Roman" w:cs="Times New Roman"/>
          <w:sz w:val="24"/>
          <w:szCs w:val="24"/>
        </w:rPr>
        <w:t>ukazuju na prioritetne aktivnosti pri</w:t>
      </w:r>
      <w:r w:rsidR="00571B13" w:rsidRPr="00074C28">
        <w:rPr>
          <w:rFonts w:ascii="Times New Roman" w:hAnsi="Times New Roman" w:cs="Times New Roman"/>
          <w:sz w:val="24"/>
          <w:szCs w:val="24"/>
        </w:rPr>
        <w:t xml:space="preserve"> planiranju</w:t>
      </w:r>
      <w:r w:rsidR="00422D53" w:rsidRPr="00074C28">
        <w:rPr>
          <w:rFonts w:ascii="Times New Roman" w:hAnsi="Times New Roman" w:cs="Times New Roman"/>
          <w:sz w:val="24"/>
          <w:szCs w:val="24"/>
        </w:rPr>
        <w:t>, provedbi</w:t>
      </w:r>
      <w:r w:rsidR="00571B13" w:rsidRPr="00074C28">
        <w:rPr>
          <w:rFonts w:ascii="Times New Roman" w:hAnsi="Times New Roman" w:cs="Times New Roman"/>
          <w:sz w:val="24"/>
          <w:szCs w:val="24"/>
        </w:rPr>
        <w:t xml:space="preserve"> i</w:t>
      </w:r>
      <w:r w:rsidR="007F5293" w:rsidRPr="00074C28">
        <w:rPr>
          <w:rFonts w:ascii="Times New Roman" w:hAnsi="Times New Roman" w:cs="Times New Roman"/>
          <w:sz w:val="24"/>
          <w:szCs w:val="24"/>
        </w:rPr>
        <w:t xml:space="preserve"> alokaciji resursa</w:t>
      </w:r>
      <w:r w:rsidR="00571B13" w:rsidRPr="00074C28">
        <w:rPr>
          <w:rFonts w:ascii="Times New Roman" w:hAnsi="Times New Roman" w:cs="Times New Roman"/>
          <w:sz w:val="24"/>
          <w:szCs w:val="24"/>
        </w:rPr>
        <w:t>.</w:t>
      </w:r>
      <w:r w:rsidR="00571B13">
        <w:rPr>
          <w:rFonts w:ascii="Times New Roman" w:hAnsi="Times New Roman" w:cs="Times New Roman"/>
          <w:sz w:val="24"/>
          <w:szCs w:val="24"/>
        </w:rPr>
        <w:t xml:space="preserve"> </w:t>
      </w:r>
    </w:p>
    <w:p w14:paraId="540630F1" w14:textId="77777777" w:rsidR="008B2934" w:rsidRDefault="008B2934" w:rsidP="00446442">
      <w:pPr>
        <w:spacing w:line="276" w:lineRule="auto"/>
        <w:jc w:val="both"/>
        <w:rPr>
          <w:rFonts w:ascii="Times New Roman" w:hAnsi="Times New Roman" w:cs="Times New Roman"/>
          <w:sz w:val="24"/>
          <w:szCs w:val="24"/>
        </w:rPr>
      </w:pPr>
    </w:p>
    <w:p w14:paraId="78DB78DF" w14:textId="31186B08" w:rsidR="00B617E4" w:rsidRDefault="00B617E4" w:rsidP="00B617E4">
      <w:pPr>
        <w:spacing w:after="0" w:line="276" w:lineRule="auto"/>
        <w:jc w:val="both"/>
        <w:rPr>
          <w:rFonts w:ascii="Times New Roman" w:hAnsi="Times New Roman" w:cs="Times New Roman"/>
          <w:i/>
          <w:iCs/>
          <w:sz w:val="24"/>
          <w:szCs w:val="24"/>
        </w:rPr>
      </w:pPr>
      <w:r w:rsidRPr="002C17B0">
        <w:rPr>
          <w:rFonts w:ascii="Times New Roman" w:hAnsi="Times New Roman" w:cs="Times New Roman"/>
          <w:i/>
          <w:iCs/>
          <w:sz w:val="24"/>
          <w:szCs w:val="24"/>
        </w:rPr>
        <w:t xml:space="preserve">Tablica </w:t>
      </w:r>
      <w:r w:rsidR="00CF5682">
        <w:rPr>
          <w:rFonts w:ascii="Times New Roman" w:hAnsi="Times New Roman" w:cs="Times New Roman"/>
          <w:i/>
          <w:iCs/>
          <w:sz w:val="24"/>
          <w:szCs w:val="24"/>
        </w:rPr>
        <w:t>3</w:t>
      </w:r>
      <w:r w:rsidRPr="002C17B0">
        <w:rPr>
          <w:rFonts w:ascii="Times New Roman" w:hAnsi="Times New Roman" w:cs="Times New Roman"/>
          <w:i/>
          <w:iCs/>
          <w:sz w:val="24"/>
          <w:szCs w:val="24"/>
        </w:rPr>
        <w:t xml:space="preserve">. Posebni ciljevi u funkciji </w:t>
      </w:r>
      <w:r w:rsidR="00BD0FA5">
        <w:rPr>
          <w:rFonts w:ascii="Times New Roman" w:hAnsi="Times New Roman" w:cs="Times New Roman"/>
          <w:i/>
          <w:iCs/>
          <w:sz w:val="24"/>
          <w:szCs w:val="24"/>
        </w:rPr>
        <w:t>ostvarenja</w:t>
      </w:r>
      <w:r w:rsidRPr="002C17B0">
        <w:rPr>
          <w:rFonts w:ascii="Times New Roman" w:hAnsi="Times New Roman" w:cs="Times New Roman"/>
          <w:i/>
          <w:iCs/>
          <w:sz w:val="24"/>
          <w:szCs w:val="24"/>
        </w:rPr>
        <w:t xml:space="preserve"> strateških ciljeva GKP ČAKOM d.o.o. za razdoblje 2023.-2026.</w:t>
      </w:r>
      <w:r w:rsidR="00DD0524">
        <w:rPr>
          <w:rFonts w:ascii="Times New Roman" w:hAnsi="Times New Roman" w:cs="Times New Roman"/>
          <w:i/>
          <w:iCs/>
          <w:sz w:val="24"/>
          <w:szCs w:val="24"/>
        </w:rPr>
        <w:t>g.</w:t>
      </w:r>
    </w:p>
    <w:tbl>
      <w:tblPr>
        <w:tblStyle w:val="Reetkatablice"/>
        <w:tblW w:w="0" w:type="auto"/>
        <w:tblLook w:val="04A0" w:firstRow="1" w:lastRow="0" w:firstColumn="1" w:lastColumn="0" w:noHBand="0" w:noVBand="1"/>
      </w:tblPr>
      <w:tblGrid>
        <w:gridCol w:w="9062"/>
      </w:tblGrid>
      <w:tr w:rsidR="008D2986" w14:paraId="7EAC59E9" w14:textId="65D9C59F" w:rsidTr="00B84777">
        <w:trPr>
          <w:trHeight w:val="624"/>
        </w:trPr>
        <w:tc>
          <w:tcPr>
            <w:tcW w:w="9062" w:type="dxa"/>
            <w:shd w:val="clear" w:color="auto" w:fill="A8D08D" w:themeFill="accent6" w:themeFillTint="99"/>
            <w:vAlign w:val="center"/>
          </w:tcPr>
          <w:p w14:paraId="6EF10DB2" w14:textId="77777777" w:rsidR="008D2986" w:rsidRPr="00BE24BB" w:rsidRDefault="008D2986" w:rsidP="00C578BB">
            <w:pPr>
              <w:spacing w:line="276" w:lineRule="auto"/>
              <w:rPr>
                <w:rFonts w:ascii="Times New Roman" w:hAnsi="Times New Roman" w:cs="Times New Roman"/>
                <w:b/>
                <w:bCs/>
                <w:sz w:val="24"/>
                <w:szCs w:val="24"/>
              </w:rPr>
            </w:pPr>
            <w:r w:rsidRPr="00BE24BB">
              <w:rPr>
                <w:rFonts w:ascii="Times New Roman" w:hAnsi="Times New Roman" w:cs="Times New Roman"/>
                <w:b/>
                <w:bCs/>
                <w:sz w:val="24"/>
                <w:szCs w:val="24"/>
              </w:rPr>
              <w:t>OPĆI CILJ 1.</w:t>
            </w:r>
          </w:p>
          <w:p w14:paraId="6E7F486A" w14:textId="39C252D8" w:rsidR="008D2986" w:rsidRPr="00BE24BB" w:rsidRDefault="008D2986" w:rsidP="00C578BB">
            <w:pPr>
              <w:spacing w:line="276" w:lineRule="auto"/>
              <w:rPr>
                <w:rFonts w:ascii="Times New Roman" w:hAnsi="Times New Roman" w:cs="Times New Roman"/>
                <w:b/>
                <w:bCs/>
                <w:sz w:val="24"/>
                <w:szCs w:val="24"/>
              </w:rPr>
            </w:pPr>
            <w:r w:rsidRPr="00BE24BB">
              <w:rPr>
                <w:rFonts w:ascii="Times New Roman" w:hAnsi="Times New Roman" w:cs="Times New Roman"/>
                <w:b/>
                <w:bCs/>
                <w:sz w:val="24"/>
                <w:szCs w:val="24"/>
              </w:rPr>
              <w:t>DALJNJI RAZVOJ SUSTAVA GOSPODARENJA OTPADOM</w:t>
            </w:r>
          </w:p>
        </w:tc>
      </w:tr>
      <w:tr w:rsidR="00AD1C20" w14:paraId="6F1BEAA2" w14:textId="77777777" w:rsidTr="00AD1C20">
        <w:trPr>
          <w:trHeight w:val="624"/>
        </w:trPr>
        <w:tc>
          <w:tcPr>
            <w:tcW w:w="9062" w:type="dxa"/>
            <w:shd w:val="clear" w:color="auto" w:fill="auto"/>
            <w:vAlign w:val="center"/>
          </w:tcPr>
          <w:p w14:paraId="22941D7A" w14:textId="77777777" w:rsidR="00AD1C20" w:rsidRPr="007774EE" w:rsidRDefault="00AD1C20" w:rsidP="00AD1C20">
            <w:pPr>
              <w:spacing w:line="276" w:lineRule="auto"/>
              <w:rPr>
                <w:rFonts w:ascii="Times New Roman" w:hAnsi="Times New Roman" w:cs="Times New Roman"/>
                <w:b/>
                <w:bCs/>
                <w:sz w:val="24"/>
                <w:szCs w:val="24"/>
              </w:rPr>
            </w:pPr>
            <w:r w:rsidRPr="007774EE">
              <w:rPr>
                <w:rFonts w:ascii="Times New Roman" w:hAnsi="Times New Roman" w:cs="Times New Roman"/>
                <w:b/>
                <w:bCs/>
                <w:sz w:val="24"/>
                <w:szCs w:val="24"/>
              </w:rPr>
              <w:t>Posebni cilj 1.1.</w:t>
            </w:r>
          </w:p>
          <w:p w14:paraId="34B8115F" w14:textId="324AF908" w:rsidR="00AD1C20" w:rsidRPr="007774EE" w:rsidRDefault="00AD1C20" w:rsidP="00AD1C20">
            <w:pPr>
              <w:spacing w:line="276" w:lineRule="auto"/>
              <w:rPr>
                <w:rFonts w:ascii="Times New Roman" w:hAnsi="Times New Roman" w:cs="Times New Roman"/>
                <w:b/>
                <w:bCs/>
                <w:sz w:val="24"/>
                <w:szCs w:val="24"/>
              </w:rPr>
            </w:pPr>
            <w:r w:rsidRPr="007774EE">
              <w:rPr>
                <w:rFonts w:ascii="Times New Roman" w:hAnsi="Times New Roman" w:cs="Times New Roman"/>
                <w:b/>
                <w:bCs/>
                <w:sz w:val="24"/>
                <w:szCs w:val="24"/>
              </w:rPr>
              <w:t>Unaprijediti gospodarenje komunalnim otpadom</w:t>
            </w:r>
          </w:p>
          <w:p w14:paraId="2D82BEEE" w14:textId="77777777" w:rsidR="00AD1C20" w:rsidRPr="007774EE" w:rsidRDefault="00AD1C20" w:rsidP="007774EE">
            <w:pPr>
              <w:spacing w:before="120" w:line="276" w:lineRule="auto"/>
              <w:jc w:val="both"/>
              <w:rPr>
                <w:rFonts w:ascii="Times New Roman" w:hAnsi="Times New Roman" w:cs="Times New Roman"/>
              </w:rPr>
            </w:pPr>
            <w:r w:rsidRPr="007774EE">
              <w:rPr>
                <w:rFonts w:ascii="Times New Roman" w:hAnsi="Times New Roman" w:cs="Times New Roman"/>
              </w:rPr>
              <w:t xml:space="preserve">Aktivnosti koje GKP ČAKOM d.o.o. poduzima za ostvarenje ovog posebnog cilja trebaju doprinijeti ostvarenju zakonom definiranih ciljeva gospodarenja otpadom i njihova uspješna realizacija ima direktni utjecaj i doprinos ostvarenju ciljeva aktualnog zakona i Plana gospodarenja otpadom RH 2023-2028.g. u izradi. U okviru ovog posebnog cilja fokus je na poduzimanju aktivnosti za daljnje unaprjeđenje sustava za odvojeno sakupljanje komunalnog otpada (uključujući i odvojeno prikupljanje biootpada) te sustava za recikliranje i oporabu komunalnog otpada, a sve u svrhu smanjenja otpada koji se trajno odlaže na Odlagalište za neopasni otpad Totovec.  </w:t>
            </w:r>
          </w:p>
          <w:p w14:paraId="14A021BC" w14:textId="77777777" w:rsidR="007774EE" w:rsidRPr="007774EE" w:rsidRDefault="007774EE" w:rsidP="007774EE">
            <w:pPr>
              <w:spacing w:before="120" w:line="276" w:lineRule="auto"/>
              <w:jc w:val="both"/>
              <w:rPr>
                <w:rFonts w:ascii="Times New Roman" w:hAnsi="Times New Roman" w:cs="Times New Roman"/>
              </w:rPr>
            </w:pPr>
            <w:r w:rsidRPr="007774EE">
              <w:rPr>
                <w:rFonts w:ascii="Times New Roman" w:hAnsi="Times New Roman" w:cs="Times New Roman"/>
              </w:rPr>
              <w:t>Konkretni zakonski ciljevi čijem postizanju možemo doprinijeti su:</w:t>
            </w:r>
          </w:p>
          <w:p w14:paraId="5E3AF14D" w14:textId="77777777" w:rsidR="007774EE" w:rsidRPr="007774EE" w:rsidRDefault="007774EE" w:rsidP="007774EE">
            <w:pPr>
              <w:spacing w:before="120" w:line="276" w:lineRule="auto"/>
              <w:jc w:val="both"/>
              <w:rPr>
                <w:rFonts w:ascii="Times New Roman" w:hAnsi="Times New Roman" w:cs="Times New Roman"/>
              </w:rPr>
            </w:pPr>
            <w:r w:rsidRPr="007774EE">
              <w:rPr>
                <w:rFonts w:ascii="Times New Roman" w:hAnsi="Times New Roman" w:cs="Times New Roman"/>
              </w:rPr>
              <w:t>1. Oporabiti recikliranjem i pripremom za ponovnu uporabu najmanje:</w:t>
            </w:r>
          </w:p>
          <w:p w14:paraId="1648062B" w14:textId="77777777" w:rsidR="007774EE" w:rsidRPr="007774EE" w:rsidRDefault="007774EE" w:rsidP="007774EE">
            <w:pPr>
              <w:spacing w:line="276" w:lineRule="auto"/>
              <w:jc w:val="both"/>
              <w:rPr>
                <w:rFonts w:ascii="Times New Roman" w:hAnsi="Times New Roman" w:cs="Times New Roman"/>
              </w:rPr>
            </w:pPr>
            <w:r w:rsidRPr="007774EE">
              <w:rPr>
                <w:rFonts w:ascii="Times New Roman" w:hAnsi="Times New Roman" w:cs="Times New Roman"/>
              </w:rPr>
              <w:t xml:space="preserve">- 50% ukupne mase otpada proizvednog u kućanstvima i otpada iz drugih izvora čiji tokovi otpada su različiti toku otpada iz kućanstava, uključujući barem papir, metal, plastiku i staklo, mora se oporabiti recikliranjem i pripremom za ponovu oporabu </w:t>
            </w:r>
          </w:p>
          <w:p w14:paraId="64216860" w14:textId="77777777" w:rsidR="007774EE" w:rsidRPr="007774EE" w:rsidRDefault="007774EE" w:rsidP="007774EE">
            <w:pPr>
              <w:spacing w:line="276" w:lineRule="auto"/>
              <w:jc w:val="both"/>
              <w:rPr>
                <w:rFonts w:ascii="Times New Roman" w:hAnsi="Times New Roman" w:cs="Times New Roman"/>
              </w:rPr>
            </w:pPr>
            <w:r w:rsidRPr="007774EE">
              <w:rPr>
                <w:rFonts w:ascii="Times New Roman" w:hAnsi="Times New Roman" w:cs="Times New Roman"/>
              </w:rPr>
              <w:t>- 55% mase komunalnog otpada do 2025. godine</w:t>
            </w:r>
          </w:p>
          <w:p w14:paraId="70AE1306" w14:textId="77777777" w:rsidR="007774EE" w:rsidRPr="007774EE" w:rsidRDefault="007774EE" w:rsidP="007774EE">
            <w:pPr>
              <w:spacing w:line="276" w:lineRule="auto"/>
              <w:jc w:val="both"/>
              <w:rPr>
                <w:rFonts w:ascii="Times New Roman" w:hAnsi="Times New Roman" w:cs="Times New Roman"/>
              </w:rPr>
            </w:pPr>
            <w:r w:rsidRPr="007774EE">
              <w:rPr>
                <w:rFonts w:ascii="Times New Roman" w:hAnsi="Times New Roman" w:cs="Times New Roman"/>
              </w:rPr>
              <w:t>- 60% mase komunalnog otpada do 2030. godine i</w:t>
            </w:r>
          </w:p>
          <w:p w14:paraId="611CB973" w14:textId="77777777" w:rsidR="007774EE" w:rsidRPr="007774EE" w:rsidRDefault="007774EE" w:rsidP="007774EE">
            <w:pPr>
              <w:spacing w:line="276" w:lineRule="auto"/>
              <w:jc w:val="both"/>
              <w:rPr>
                <w:rFonts w:ascii="Times New Roman" w:hAnsi="Times New Roman" w:cs="Times New Roman"/>
              </w:rPr>
            </w:pPr>
            <w:r w:rsidRPr="007774EE">
              <w:rPr>
                <w:rFonts w:ascii="Times New Roman" w:hAnsi="Times New Roman" w:cs="Times New Roman"/>
              </w:rPr>
              <w:t>- 65% mase komunalnog otpada do 2035. godine.</w:t>
            </w:r>
          </w:p>
          <w:p w14:paraId="26035CC0" w14:textId="77777777" w:rsidR="007774EE" w:rsidRPr="007774EE" w:rsidRDefault="007774EE" w:rsidP="007774EE">
            <w:pPr>
              <w:spacing w:line="276" w:lineRule="auto"/>
              <w:jc w:val="both"/>
              <w:rPr>
                <w:rFonts w:ascii="Times New Roman" w:hAnsi="Times New Roman" w:cs="Times New Roman"/>
              </w:rPr>
            </w:pPr>
          </w:p>
          <w:p w14:paraId="6A0A01C5" w14:textId="77777777" w:rsidR="007774EE" w:rsidRPr="007774EE" w:rsidRDefault="007774EE" w:rsidP="007774EE">
            <w:pPr>
              <w:spacing w:line="276" w:lineRule="auto"/>
              <w:jc w:val="both"/>
              <w:rPr>
                <w:rFonts w:ascii="Times New Roman" w:hAnsi="Times New Roman" w:cs="Times New Roman"/>
              </w:rPr>
            </w:pPr>
            <w:r w:rsidRPr="007774EE">
              <w:rPr>
                <w:rFonts w:ascii="Times New Roman" w:hAnsi="Times New Roman" w:cs="Times New Roman"/>
              </w:rPr>
              <w:t>2. Svim dozvolama za gospodarenje otpadom u RH dopustiti, u jednoj kalendarskoj godini, odlaganje najviše 264.661 tone mase biorazgradivog komunalnog otpada (35% mase biorazgradivog komunalnog otpada proizvedenog u 1997. godini)</w:t>
            </w:r>
          </w:p>
          <w:p w14:paraId="1CF2E279" w14:textId="77777777" w:rsidR="007774EE" w:rsidRPr="007774EE" w:rsidRDefault="007774EE" w:rsidP="007774EE">
            <w:pPr>
              <w:spacing w:before="240" w:line="276" w:lineRule="auto"/>
              <w:jc w:val="both"/>
              <w:rPr>
                <w:rFonts w:ascii="Times New Roman" w:hAnsi="Times New Roman" w:cs="Times New Roman"/>
              </w:rPr>
            </w:pPr>
            <w:r w:rsidRPr="007774EE">
              <w:rPr>
                <w:rFonts w:ascii="Times New Roman" w:hAnsi="Times New Roman" w:cs="Times New Roman"/>
              </w:rPr>
              <w:t>3. Količina komunalnog otpada odloženog na odlagališta otpada iznosi najviše 10% mase ukupno proizvedenog komunalnog otpada, do 2035. godine.</w:t>
            </w:r>
          </w:p>
          <w:p w14:paraId="2CE6F1C2" w14:textId="77777777" w:rsidR="007774EE" w:rsidRPr="007774EE" w:rsidRDefault="007774EE" w:rsidP="007774EE">
            <w:pPr>
              <w:spacing w:before="240" w:line="276" w:lineRule="auto"/>
              <w:jc w:val="both"/>
              <w:rPr>
                <w:rFonts w:ascii="Times New Roman" w:hAnsi="Times New Roman" w:cs="Times New Roman"/>
              </w:rPr>
            </w:pPr>
            <w:r w:rsidRPr="007774EE">
              <w:rPr>
                <w:rFonts w:ascii="Times New Roman" w:hAnsi="Times New Roman" w:cs="Times New Roman"/>
              </w:rPr>
              <w:t>4. Gospodarenjem otpadnim gumama potebno je:</w:t>
            </w:r>
          </w:p>
          <w:p w14:paraId="32D562FD" w14:textId="77777777" w:rsidR="007774EE" w:rsidRPr="007774EE" w:rsidRDefault="007774EE" w:rsidP="007774EE">
            <w:pPr>
              <w:spacing w:line="276" w:lineRule="auto"/>
              <w:jc w:val="both"/>
              <w:rPr>
                <w:rFonts w:ascii="Times New Roman" w:hAnsi="Times New Roman" w:cs="Times New Roman"/>
              </w:rPr>
            </w:pPr>
            <w:r w:rsidRPr="007774EE">
              <w:rPr>
                <w:rFonts w:ascii="Times New Roman" w:hAnsi="Times New Roman" w:cs="Times New Roman"/>
              </w:rPr>
              <w:t>- osigurati sustavno odvojeno sakupljanje otpadnih guma</w:t>
            </w:r>
          </w:p>
          <w:p w14:paraId="3F4350A3" w14:textId="77777777" w:rsidR="007774EE" w:rsidRPr="007774EE" w:rsidRDefault="007774EE" w:rsidP="007774EE">
            <w:pPr>
              <w:spacing w:line="276" w:lineRule="auto"/>
              <w:jc w:val="both"/>
              <w:rPr>
                <w:rFonts w:ascii="Times New Roman" w:hAnsi="Times New Roman" w:cs="Times New Roman"/>
              </w:rPr>
            </w:pPr>
            <w:r w:rsidRPr="007774EE">
              <w:rPr>
                <w:rFonts w:ascii="Times New Roman" w:hAnsi="Times New Roman" w:cs="Times New Roman"/>
              </w:rPr>
              <w:t>- osigurati obradu svih odvojeno sakupljenih otpadnih guma</w:t>
            </w:r>
          </w:p>
          <w:p w14:paraId="1844DDAD" w14:textId="77777777" w:rsidR="007774EE" w:rsidRDefault="007774EE" w:rsidP="007774EE">
            <w:pPr>
              <w:spacing w:before="120" w:line="276" w:lineRule="auto"/>
              <w:jc w:val="both"/>
              <w:rPr>
                <w:rFonts w:ascii="Times New Roman" w:hAnsi="Times New Roman" w:cs="Times New Roman"/>
              </w:rPr>
            </w:pPr>
            <w:r w:rsidRPr="007774EE">
              <w:rPr>
                <w:rFonts w:ascii="Times New Roman" w:hAnsi="Times New Roman" w:cs="Times New Roman"/>
              </w:rPr>
              <w:t>-osigurati recikliranje najmanje 80% mase odvojeno skupljenih otpadnih guma u kalendarskoj godini u Republici Hrvatskoj</w:t>
            </w:r>
          </w:p>
          <w:p w14:paraId="17994C97" w14:textId="15149FB5" w:rsidR="009B3684" w:rsidRPr="007774EE" w:rsidRDefault="009B3684" w:rsidP="007774EE">
            <w:pPr>
              <w:spacing w:before="120" w:line="276" w:lineRule="auto"/>
              <w:jc w:val="both"/>
              <w:rPr>
                <w:rFonts w:ascii="Times New Roman" w:hAnsi="Times New Roman" w:cs="Times New Roman"/>
                <w:sz w:val="24"/>
                <w:szCs w:val="24"/>
              </w:rPr>
            </w:pPr>
          </w:p>
        </w:tc>
      </w:tr>
      <w:tr w:rsidR="00AD1C20" w14:paraId="558CF84D" w14:textId="688FAF0A" w:rsidTr="00B3170E">
        <w:trPr>
          <w:trHeight w:val="2443"/>
        </w:trPr>
        <w:tc>
          <w:tcPr>
            <w:tcW w:w="9062" w:type="dxa"/>
          </w:tcPr>
          <w:p w14:paraId="7F5D2AE9" w14:textId="77777777" w:rsidR="00AD1C20" w:rsidRPr="00451054" w:rsidRDefault="00AD1C20" w:rsidP="008D2986">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lastRenderedPageBreak/>
              <w:t>Posebni cilj 1.2.</w:t>
            </w:r>
          </w:p>
          <w:p w14:paraId="4D77DD33" w14:textId="77777777" w:rsidR="00AD1C20" w:rsidRDefault="00AD1C20" w:rsidP="008D2986">
            <w:pPr>
              <w:spacing w:line="276" w:lineRule="auto"/>
              <w:rPr>
                <w:rFonts w:ascii="Times New Roman" w:eastAsia="Times New Roman" w:hAnsi="Times New Roman"/>
                <w:b/>
                <w:bCs/>
                <w:iCs/>
                <w:noProof w:val="0"/>
                <w:sz w:val="24"/>
                <w:szCs w:val="24"/>
              </w:rPr>
            </w:pPr>
            <w:r w:rsidRPr="00451054">
              <w:rPr>
                <w:rFonts w:ascii="Times New Roman" w:eastAsia="Times New Roman" w:hAnsi="Times New Roman"/>
                <w:b/>
                <w:bCs/>
                <w:noProof w:val="0"/>
                <w:sz w:val="24"/>
                <w:szCs w:val="24"/>
              </w:rPr>
              <w:t xml:space="preserve">Sanacija Odlagališta za neopasni otpad </w:t>
            </w:r>
            <w:proofErr w:type="spellStart"/>
            <w:r w:rsidRPr="00451054">
              <w:rPr>
                <w:rFonts w:ascii="Times New Roman" w:eastAsia="Times New Roman" w:hAnsi="Times New Roman"/>
                <w:b/>
                <w:bCs/>
                <w:noProof w:val="0"/>
                <w:sz w:val="24"/>
                <w:szCs w:val="24"/>
              </w:rPr>
              <w:t>Totovec</w:t>
            </w:r>
            <w:proofErr w:type="spellEnd"/>
            <w:r w:rsidRPr="00451054">
              <w:rPr>
                <w:rFonts w:ascii="Times New Roman" w:eastAsia="Times New Roman" w:hAnsi="Times New Roman"/>
                <w:b/>
                <w:bCs/>
                <w:i/>
                <w:noProof w:val="0"/>
                <w:sz w:val="24"/>
                <w:szCs w:val="24"/>
              </w:rPr>
              <w:t xml:space="preserve">  </w:t>
            </w:r>
            <w:r w:rsidRPr="00451054">
              <w:rPr>
                <w:rFonts w:ascii="Times New Roman" w:eastAsia="Times New Roman" w:hAnsi="Times New Roman"/>
                <w:b/>
                <w:bCs/>
                <w:iCs/>
                <w:noProof w:val="0"/>
                <w:sz w:val="24"/>
                <w:szCs w:val="24"/>
              </w:rPr>
              <w:t xml:space="preserve">te nastavak odlaganja do otvorenja RCGO </w:t>
            </w:r>
            <w:proofErr w:type="spellStart"/>
            <w:r w:rsidRPr="00451054">
              <w:rPr>
                <w:rFonts w:ascii="Times New Roman" w:eastAsia="Times New Roman" w:hAnsi="Times New Roman"/>
                <w:b/>
                <w:bCs/>
                <w:iCs/>
                <w:noProof w:val="0"/>
                <w:sz w:val="24"/>
                <w:szCs w:val="24"/>
              </w:rPr>
              <w:t>Piškornica</w:t>
            </w:r>
            <w:proofErr w:type="spellEnd"/>
          </w:p>
          <w:p w14:paraId="11F03A8D" w14:textId="77777777" w:rsidR="00AD1C20" w:rsidRPr="00451054" w:rsidRDefault="00AD1C20" w:rsidP="008D2986">
            <w:pPr>
              <w:spacing w:line="276" w:lineRule="auto"/>
              <w:rPr>
                <w:rFonts w:ascii="Times New Roman" w:eastAsia="Times New Roman" w:hAnsi="Times New Roman"/>
                <w:b/>
                <w:bCs/>
                <w:noProof w:val="0"/>
                <w:sz w:val="24"/>
                <w:szCs w:val="24"/>
              </w:rPr>
            </w:pPr>
          </w:p>
          <w:p w14:paraId="6B3AFFA7" w14:textId="6CB39AB5" w:rsidR="00AD1C20" w:rsidRPr="00451054" w:rsidRDefault="00AD1C20" w:rsidP="009B3684">
            <w:pPr>
              <w:spacing w:line="276" w:lineRule="auto"/>
              <w:jc w:val="both"/>
              <w:rPr>
                <w:rFonts w:ascii="Times New Roman" w:eastAsia="Times New Roman" w:hAnsi="Times New Roman"/>
                <w:b/>
                <w:bCs/>
                <w:noProof w:val="0"/>
                <w:sz w:val="24"/>
                <w:szCs w:val="24"/>
              </w:rPr>
            </w:pPr>
            <w:r w:rsidRPr="00231C2A">
              <w:rPr>
                <w:rFonts w:ascii="Times New Roman" w:eastAsia="Times New Roman" w:hAnsi="Times New Roman" w:cs="Times New Roman"/>
                <w:noProof w:val="0"/>
                <w:kern w:val="0"/>
                <w14:ligatures w14:val="none"/>
              </w:rPr>
              <w:t>Projekt sanacije odlagališta</w:t>
            </w:r>
            <w:r>
              <w:rPr>
                <w:rFonts w:ascii="Times New Roman" w:eastAsia="Times New Roman" w:hAnsi="Times New Roman" w:cs="Times New Roman"/>
                <w:noProof w:val="0"/>
                <w:kern w:val="0"/>
                <w14:ligatures w14:val="none"/>
              </w:rPr>
              <w:t xml:space="preserve"> za neopasni otpad </w:t>
            </w:r>
            <w:r w:rsidRPr="00231C2A">
              <w:rPr>
                <w:rFonts w:ascii="Times New Roman" w:eastAsia="Times New Roman" w:hAnsi="Times New Roman" w:cs="Times New Roman"/>
                <w:noProof w:val="0"/>
                <w:kern w:val="0"/>
                <w14:ligatures w14:val="none"/>
              </w:rPr>
              <w:t xml:space="preserve"> </w:t>
            </w:r>
            <w:proofErr w:type="spellStart"/>
            <w:r w:rsidRPr="00231C2A">
              <w:rPr>
                <w:rFonts w:ascii="Times New Roman" w:eastAsia="Times New Roman" w:hAnsi="Times New Roman" w:cs="Times New Roman"/>
                <w:noProof w:val="0"/>
                <w:kern w:val="0"/>
                <w14:ligatures w14:val="none"/>
              </w:rPr>
              <w:t>Totovec</w:t>
            </w:r>
            <w:proofErr w:type="spellEnd"/>
            <w:r w:rsidRPr="00231C2A">
              <w:rPr>
                <w:rFonts w:ascii="Times New Roman" w:eastAsia="Times New Roman" w:hAnsi="Times New Roman" w:cs="Times New Roman"/>
                <w:noProof w:val="0"/>
                <w:kern w:val="0"/>
                <w14:ligatures w14:val="none"/>
              </w:rPr>
              <w:t xml:space="preserve"> provesti</w:t>
            </w:r>
            <w:r>
              <w:rPr>
                <w:rFonts w:ascii="Times New Roman" w:eastAsia="Times New Roman" w:hAnsi="Times New Roman" w:cs="Times New Roman"/>
                <w:noProof w:val="0"/>
                <w:kern w:val="0"/>
                <w14:ligatures w14:val="none"/>
              </w:rPr>
              <w:t xml:space="preserve"> </w:t>
            </w:r>
            <w:r w:rsidRPr="00231C2A">
              <w:rPr>
                <w:rFonts w:ascii="Times New Roman" w:eastAsia="Times New Roman" w:hAnsi="Times New Roman" w:cs="Times New Roman"/>
                <w:noProof w:val="0"/>
                <w:kern w:val="0"/>
                <w14:ligatures w14:val="none"/>
              </w:rPr>
              <w:t xml:space="preserve">sukladno projektnoj dokumentaciji građenja, poslovnom planu za investiciju sanacije odlagališta </w:t>
            </w:r>
            <w:proofErr w:type="spellStart"/>
            <w:r w:rsidRPr="00231C2A">
              <w:rPr>
                <w:rFonts w:ascii="Times New Roman" w:eastAsia="Times New Roman" w:hAnsi="Times New Roman" w:cs="Times New Roman"/>
                <w:noProof w:val="0"/>
                <w:kern w:val="0"/>
                <w14:ligatures w14:val="none"/>
              </w:rPr>
              <w:t>Totovec</w:t>
            </w:r>
            <w:proofErr w:type="spellEnd"/>
            <w:r w:rsidRPr="00231C2A">
              <w:rPr>
                <w:rFonts w:ascii="Times New Roman" w:eastAsia="Times New Roman" w:hAnsi="Times New Roman" w:cs="Times New Roman"/>
                <w:noProof w:val="0"/>
                <w:kern w:val="0"/>
                <w14:ligatures w14:val="none"/>
              </w:rPr>
              <w:t xml:space="preserve">, projektu sanacije odlagališta </w:t>
            </w:r>
            <w:proofErr w:type="spellStart"/>
            <w:r w:rsidRPr="00231C2A">
              <w:rPr>
                <w:rFonts w:ascii="Times New Roman" w:eastAsia="Times New Roman" w:hAnsi="Times New Roman" w:cs="Times New Roman"/>
                <w:noProof w:val="0"/>
                <w:kern w:val="0"/>
                <w14:ligatures w14:val="none"/>
              </w:rPr>
              <w:t>Totovec</w:t>
            </w:r>
            <w:proofErr w:type="spellEnd"/>
            <w:r w:rsidRPr="00231C2A">
              <w:rPr>
                <w:rFonts w:ascii="Times New Roman" w:eastAsia="Times New Roman" w:hAnsi="Times New Roman" w:cs="Times New Roman"/>
                <w:noProof w:val="0"/>
                <w:kern w:val="0"/>
                <w14:ligatures w14:val="none"/>
              </w:rPr>
              <w:t xml:space="preserve"> </w:t>
            </w:r>
            <w:r>
              <w:rPr>
                <w:rFonts w:ascii="Times New Roman" w:eastAsia="Times New Roman" w:hAnsi="Times New Roman" w:cs="Times New Roman"/>
                <w:noProof w:val="0"/>
                <w:kern w:val="0"/>
                <w14:ligatures w14:val="none"/>
              </w:rPr>
              <w:t xml:space="preserve">uz brigu da se </w:t>
            </w:r>
            <w:r w:rsidRPr="00231C2A">
              <w:rPr>
                <w:rFonts w:ascii="Times New Roman" w:eastAsia="Times New Roman" w:hAnsi="Times New Roman" w:cs="Times New Roman"/>
                <w:noProof w:val="0"/>
                <w:kern w:val="0"/>
                <w14:ligatures w14:val="none"/>
              </w:rPr>
              <w:t>smanje nepovoljni utjecaji na okoliš (onečišćenje tla, zraka i podzemnih voda) i osigura odlaganje novih količina otpada na istoj lokaciji do početka rada RCGO-a</w:t>
            </w:r>
            <w:r>
              <w:rPr>
                <w:rFonts w:ascii="Times New Roman" w:eastAsia="Times New Roman" w:hAnsi="Times New Roman" w:cs="Times New Roman"/>
                <w:noProof w:val="0"/>
                <w:kern w:val="0"/>
                <w14:ligatures w14:val="none"/>
              </w:rPr>
              <w:t xml:space="preserve"> </w:t>
            </w:r>
            <w:proofErr w:type="spellStart"/>
            <w:r>
              <w:rPr>
                <w:rFonts w:ascii="Times New Roman" w:eastAsia="Times New Roman" w:hAnsi="Times New Roman" w:cs="Times New Roman"/>
                <w:noProof w:val="0"/>
                <w:kern w:val="0"/>
                <w14:ligatures w14:val="none"/>
              </w:rPr>
              <w:t>Piškornica</w:t>
            </w:r>
            <w:proofErr w:type="spellEnd"/>
            <w:r>
              <w:rPr>
                <w:rFonts w:ascii="Times New Roman" w:eastAsia="Times New Roman" w:hAnsi="Times New Roman" w:cs="Times New Roman"/>
                <w:noProof w:val="0"/>
                <w:kern w:val="0"/>
                <w14:ligatures w14:val="none"/>
              </w:rPr>
              <w:t>.</w:t>
            </w:r>
          </w:p>
        </w:tc>
      </w:tr>
      <w:tr w:rsidR="00AD1C20" w14:paraId="77985254" w14:textId="516E8E85" w:rsidTr="00F67B56">
        <w:trPr>
          <w:trHeight w:val="1835"/>
        </w:trPr>
        <w:tc>
          <w:tcPr>
            <w:tcW w:w="9062" w:type="dxa"/>
          </w:tcPr>
          <w:p w14:paraId="2D96539C" w14:textId="77777777" w:rsidR="00AD1C20" w:rsidRPr="00451054" w:rsidRDefault="00AD1C20" w:rsidP="008D2986">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t>Posebni cilj 1.3.</w:t>
            </w:r>
          </w:p>
          <w:p w14:paraId="5DA06209" w14:textId="77777777" w:rsidR="00AD1C20" w:rsidRDefault="00AD1C20" w:rsidP="008D2986">
            <w:pPr>
              <w:spacing w:line="276" w:lineRule="auto"/>
              <w:rPr>
                <w:rFonts w:ascii="Times New Roman" w:eastAsia="Times New Roman" w:hAnsi="Times New Roman"/>
                <w:b/>
                <w:bCs/>
                <w:noProof w:val="0"/>
                <w:sz w:val="24"/>
                <w:szCs w:val="24"/>
              </w:rPr>
            </w:pPr>
            <w:r w:rsidRPr="00451054">
              <w:rPr>
                <w:rFonts w:ascii="Times New Roman" w:eastAsia="Times New Roman" w:hAnsi="Times New Roman"/>
                <w:b/>
                <w:bCs/>
                <w:noProof w:val="0"/>
                <w:sz w:val="24"/>
                <w:szCs w:val="24"/>
              </w:rPr>
              <w:t>Ulaganje u opremu za gospodarenje otpadom</w:t>
            </w:r>
          </w:p>
          <w:p w14:paraId="769BF4D3" w14:textId="77777777" w:rsidR="00AD1C20" w:rsidRPr="00451054" w:rsidRDefault="00AD1C20" w:rsidP="008D2986">
            <w:pPr>
              <w:spacing w:line="276" w:lineRule="auto"/>
              <w:rPr>
                <w:rFonts w:ascii="Times New Roman" w:eastAsia="Times New Roman" w:hAnsi="Times New Roman"/>
                <w:b/>
                <w:bCs/>
                <w:noProof w:val="0"/>
                <w:sz w:val="24"/>
                <w:szCs w:val="24"/>
              </w:rPr>
            </w:pPr>
          </w:p>
          <w:p w14:paraId="6CDDDCFE" w14:textId="77777777" w:rsidR="00AD1C20" w:rsidRDefault="00AD1C20" w:rsidP="00451054">
            <w:pPr>
              <w:spacing w:line="276" w:lineRule="auto"/>
              <w:jc w:val="both"/>
              <w:rPr>
                <w:rFonts w:ascii="Times New Roman" w:eastAsia="Times New Roman" w:hAnsi="Times New Roman" w:cs="Times New Roman"/>
                <w:noProof w:val="0"/>
                <w:kern w:val="0"/>
                <w14:ligatures w14:val="none"/>
              </w:rPr>
            </w:pPr>
            <w:r w:rsidRPr="00074C28">
              <w:rPr>
                <w:rFonts w:ascii="Times New Roman" w:eastAsia="Times New Roman" w:hAnsi="Times New Roman" w:cs="Times New Roman"/>
                <w:noProof w:val="0"/>
                <w:kern w:val="0"/>
                <w14:ligatures w14:val="none"/>
              </w:rPr>
              <w:t>Ulaganje u modernizaciju potrebne opreme doprinosi efikasnijem sustavu gospodarenja otpadom. Osim kontinuiranog obnavljanja voznog i strojnog parka,</w:t>
            </w:r>
            <w:r>
              <w:rPr>
                <w:rFonts w:ascii="Times New Roman" w:eastAsia="Times New Roman" w:hAnsi="Times New Roman" w:cs="Times New Roman"/>
                <w:noProof w:val="0"/>
                <w:kern w:val="0"/>
                <w14:ligatures w14:val="none"/>
              </w:rPr>
              <w:t xml:space="preserve"> </w:t>
            </w:r>
            <w:r w:rsidRPr="00802DFE">
              <w:rPr>
                <w:rFonts w:ascii="Times New Roman" w:eastAsia="Times New Roman" w:hAnsi="Times New Roman" w:cs="Times New Roman"/>
                <w:noProof w:val="0"/>
                <w:kern w:val="0"/>
                <w14:ligatures w14:val="none"/>
              </w:rPr>
              <w:t>cilj je unaprijediti sustav sakupljanja otpada.</w:t>
            </w:r>
            <w:r w:rsidRPr="00074C28">
              <w:rPr>
                <w:rFonts w:ascii="Times New Roman" w:eastAsia="Times New Roman" w:hAnsi="Times New Roman" w:cs="Times New Roman"/>
                <w:noProof w:val="0"/>
                <w:kern w:val="0"/>
                <w14:ligatures w14:val="none"/>
              </w:rPr>
              <w:t xml:space="preserve"> </w:t>
            </w:r>
          </w:p>
          <w:p w14:paraId="195E710A" w14:textId="7B125093" w:rsidR="00AD1C20" w:rsidRPr="00451054" w:rsidRDefault="00AD1C20" w:rsidP="00451054">
            <w:pPr>
              <w:spacing w:line="276" w:lineRule="auto"/>
              <w:jc w:val="both"/>
              <w:rPr>
                <w:rFonts w:ascii="Times New Roman" w:eastAsia="Times New Roman" w:hAnsi="Times New Roman"/>
                <w:b/>
                <w:bCs/>
                <w:noProof w:val="0"/>
                <w:sz w:val="24"/>
                <w:szCs w:val="24"/>
              </w:rPr>
            </w:pPr>
          </w:p>
        </w:tc>
      </w:tr>
      <w:tr w:rsidR="00AD1C20" w14:paraId="636293EF" w14:textId="5723559D" w:rsidTr="00A93AAB">
        <w:trPr>
          <w:trHeight w:val="2999"/>
        </w:trPr>
        <w:tc>
          <w:tcPr>
            <w:tcW w:w="9062" w:type="dxa"/>
          </w:tcPr>
          <w:p w14:paraId="2CF767A0" w14:textId="77777777" w:rsidR="00AD1C20" w:rsidRPr="00451054" w:rsidRDefault="00AD1C20" w:rsidP="008D2986">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t>Posebni cilj 1.4.</w:t>
            </w:r>
          </w:p>
          <w:p w14:paraId="6DADDF38" w14:textId="77777777" w:rsidR="00AD1C20" w:rsidRDefault="00AD1C20" w:rsidP="008D2986">
            <w:pPr>
              <w:spacing w:line="276" w:lineRule="auto"/>
              <w:rPr>
                <w:rFonts w:ascii="Times New Roman" w:eastAsia="Times New Roman" w:hAnsi="Times New Roman"/>
                <w:b/>
                <w:bCs/>
                <w:noProof w:val="0"/>
                <w:sz w:val="24"/>
                <w:szCs w:val="24"/>
              </w:rPr>
            </w:pPr>
            <w:r w:rsidRPr="00451054">
              <w:rPr>
                <w:rFonts w:ascii="Times New Roman" w:eastAsia="Times New Roman" w:hAnsi="Times New Roman"/>
                <w:b/>
                <w:bCs/>
                <w:noProof w:val="0"/>
                <w:sz w:val="24"/>
                <w:szCs w:val="24"/>
              </w:rPr>
              <w:t xml:space="preserve">Poboljšati osviještenost građana o gospodarenju otpadom </w:t>
            </w:r>
          </w:p>
          <w:p w14:paraId="5FC1D632" w14:textId="77777777" w:rsidR="00AD1C20" w:rsidRPr="00451054" w:rsidRDefault="00AD1C20" w:rsidP="008D2986">
            <w:pPr>
              <w:spacing w:line="276" w:lineRule="auto"/>
              <w:rPr>
                <w:rFonts w:ascii="Times New Roman" w:eastAsia="Times New Roman" w:hAnsi="Times New Roman"/>
                <w:b/>
                <w:bCs/>
                <w:noProof w:val="0"/>
                <w:sz w:val="24"/>
                <w:szCs w:val="24"/>
              </w:rPr>
            </w:pPr>
          </w:p>
          <w:p w14:paraId="42594FCB" w14:textId="77777777" w:rsidR="00AD1C20" w:rsidRDefault="00AD1C20" w:rsidP="00451054">
            <w:pPr>
              <w:spacing w:line="276" w:lineRule="auto"/>
              <w:jc w:val="both"/>
              <w:rPr>
                <w:rFonts w:ascii="Times New Roman" w:eastAsia="Times New Roman" w:hAnsi="Times New Roman" w:cs="Times New Roman"/>
                <w:noProof w:val="0"/>
                <w:kern w:val="0"/>
                <w14:ligatures w14:val="none"/>
              </w:rPr>
            </w:pPr>
            <w:r w:rsidRPr="00231C2A">
              <w:rPr>
                <w:rFonts w:ascii="Times New Roman" w:eastAsia="Times New Roman" w:hAnsi="Times New Roman" w:cs="Times New Roman"/>
                <w:noProof w:val="0"/>
                <w:kern w:val="0"/>
                <w14:ligatures w14:val="none"/>
              </w:rPr>
              <w:t>Osviještenost građana će se po</w:t>
            </w:r>
            <w:r>
              <w:rPr>
                <w:rFonts w:ascii="Times New Roman" w:eastAsia="Times New Roman" w:hAnsi="Times New Roman" w:cs="Times New Roman"/>
                <w:noProof w:val="0"/>
                <w:kern w:val="0"/>
                <w14:ligatures w14:val="none"/>
              </w:rPr>
              <w:t>boljšati</w:t>
            </w:r>
            <w:r w:rsidRPr="00231C2A">
              <w:rPr>
                <w:rFonts w:ascii="Times New Roman" w:eastAsia="Times New Roman" w:hAnsi="Times New Roman" w:cs="Times New Roman"/>
                <w:noProof w:val="0"/>
                <w:kern w:val="0"/>
                <w14:ligatures w14:val="none"/>
              </w:rPr>
              <w:t xml:space="preserve"> provođenjem </w:t>
            </w:r>
            <w:r>
              <w:rPr>
                <w:rFonts w:ascii="Times New Roman" w:eastAsia="Times New Roman" w:hAnsi="Times New Roman" w:cs="Times New Roman"/>
                <w:noProof w:val="0"/>
                <w:kern w:val="0"/>
                <w14:ligatures w14:val="none"/>
              </w:rPr>
              <w:t>informacijsko-</w:t>
            </w:r>
            <w:r w:rsidRPr="00231C2A">
              <w:rPr>
                <w:rFonts w:ascii="Times New Roman" w:eastAsia="Times New Roman" w:hAnsi="Times New Roman" w:cs="Times New Roman"/>
                <w:noProof w:val="0"/>
                <w:kern w:val="0"/>
                <w14:ligatures w14:val="none"/>
              </w:rPr>
              <w:t>obrazovn</w:t>
            </w:r>
            <w:r>
              <w:rPr>
                <w:rFonts w:ascii="Times New Roman" w:eastAsia="Times New Roman" w:hAnsi="Times New Roman" w:cs="Times New Roman"/>
                <w:noProof w:val="0"/>
                <w:kern w:val="0"/>
                <w14:ligatures w14:val="none"/>
              </w:rPr>
              <w:t>ih</w:t>
            </w:r>
            <w:r w:rsidRPr="00231C2A">
              <w:rPr>
                <w:rFonts w:ascii="Times New Roman" w:eastAsia="Times New Roman" w:hAnsi="Times New Roman" w:cs="Times New Roman"/>
                <w:noProof w:val="0"/>
                <w:kern w:val="0"/>
                <w14:ligatures w14:val="none"/>
              </w:rPr>
              <w:t xml:space="preserve"> aktivnosti o</w:t>
            </w:r>
            <w:r>
              <w:rPr>
                <w:rFonts w:ascii="Times New Roman" w:eastAsia="Times New Roman" w:hAnsi="Times New Roman" w:cs="Times New Roman"/>
                <w:noProof w:val="0"/>
                <w:kern w:val="0"/>
                <w14:ligatures w14:val="none"/>
              </w:rPr>
              <w:t xml:space="preserve"> </w:t>
            </w:r>
            <w:r w:rsidRPr="00231C2A">
              <w:rPr>
                <w:rFonts w:ascii="Times New Roman" w:eastAsia="Times New Roman" w:hAnsi="Times New Roman" w:cs="Times New Roman"/>
                <w:noProof w:val="0"/>
                <w:kern w:val="0"/>
                <w14:ligatures w14:val="none"/>
              </w:rPr>
              <w:t>postizanju planiranih ciljeva gospodarenja otpadom i koristima koje se od postizanja tih ciljeva očekuju (smanjenje onečišćenja okoliša i drugo)</w:t>
            </w:r>
            <w:r>
              <w:rPr>
                <w:rFonts w:ascii="Times New Roman" w:eastAsia="Times New Roman" w:hAnsi="Times New Roman" w:cs="Times New Roman"/>
                <w:noProof w:val="0"/>
                <w:kern w:val="0"/>
                <w14:ligatures w14:val="none"/>
              </w:rPr>
              <w:t xml:space="preserve"> te </w:t>
            </w:r>
            <w:r w:rsidRPr="00231C2A">
              <w:rPr>
                <w:rFonts w:ascii="Times New Roman" w:eastAsia="Times New Roman" w:hAnsi="Times New Roman" w:cs="Times New Roman"/>
                <w:noProof w:val="0"/>
                <w:kern w:val="0"/>
                <w14:ligatures w14:val="none"/>
              </w:rPr>
              <w:t>ispravnom načinu odvajanja komunalnog otpada i koristima takvog načina odvajanja.</w:t>
            </w:r>
            <w:r>
              <w:rPr>
                <w:rFonts w:ascii="Times New Roman" w:eastAsia="Times New Roman" w:hAnsi="Times New Roman" w:cs="Times New Roman"/>
                <w:noProof w:val="0"/>
                <w:kern w:val="0"/>
                <w14:ligatures w14:val="none"/>
              </w:rPr>
              <w:t xml:space="preserve"> Ostvarenje ovog cilja pridonosi ciljevima iz Zakona o gospodarenju otpadom, te ciljevima iz Plana gospodarenja otpadom RH 2023.-2028. u pogledu sprječavanja nastanka otpada i povećanje udjela odvajanja otpada, a time i smanjenja količine otpada koji se trajno odlaže na odlagalište.</w:t>
            </w:r>
          </w:p>
          <w:p w14:paraId="01983EBB" w14:textId="2A4F38E5" w:rsidR="00AD1C20" w:rsidRPr="00451054" w:rsidRDefault="00AD1C20" w:rsidP="00451054">
            <w:pPr>
              <w:spacing w:line="276" w:lineRule="auto"/>
              <w:jc w:val="both"/>
              <w:rPr>
                <w:rFonts w:ascii="Times New Roman" w:eastAsia="Times New Roman" w:hAnsi="Times New Roman"/>
                <w:b/>
                <w:bCs/>
                <w:noProof w:val="0"/>
                <w:sz w:val="24"/>
                <w:szCs w:val="24"/>
              </w:rPr>
            </w:pPr>
          </w:p>
        </w:tc>
      </w:tr>
    </w:tbl>
    <w:p w14:paraId="2B8E76E6" w14:textId="77777777" w:rsidR="00BE24BB" w:rsidRDefault="00BE24BB" w:rsidP="003B53F4">
      <w:pPr>
        <w:spacing w:line="276" w:lineRule="auto"/>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62"/>
      </w:tblGrid>
      <w:tr w:rsidR="00451054" w14:paraId="4A7FA3BA" w14:textId="77777777" w:rsidTr="007F082D">
        <w:trPr>
          <w:trHeight w:val="624"/>
        </w:trPr>
        <w:tc>
          <w:tcPr>
            <w:tcW w:w="9062" w:type="dxa"/>
            <w:shd w:val="clear" w:color="auto" w:fill="A8D08D" w:themeFill="accent6" w:themeFillTint="99"/>
            <w:vAlign w:val="center"/>
          </w:tcPr>
          <w:p w14:paraId="312C90E0" w14:textId="77777777" w:rsidR="00451054" w:rsidRPr="00BE24BB" w:rsidRDefault="00451054" w:rsidP="00C578BB">
            <w:pPr>
              <w:spacing w:line="276" w:lineRule="auto"/>
              <w:rPr>
                <w:rFonts w:ascii="Times New Roman" w:hAnsi="Times New Roman" w:cs="Times New Roman"/>
                <w:b/>
                <w:bCs/>
                <w:sz w:val="24"/>
                <w:szCs w:val="24"/>
              </w:rPr>
            </w:pPr>
            <w:r w:rsidRPr="00BE24BB">
              <w:rPr>
                <w:rFonts w:ascii="Times New Roman" w:hAnsi="Times New Roman" w:cs="Times New Roman"/>
                <w:b/>
                <w:bCs/>
                <w:sz w:val="24"/>
                <w:szCs w:val="24"/>
              </w:rPr>
              <w:t xml:space="preserve">OPĆI CILJ </w:t>
            </w:r>
            <w:r>
              <w:rPr>
                <w:rFonts w:ascii="Times New Roman" w:hAnsi="Times New Roman" w:cs="Times New Roman"/>
                <w:b/>
                <w:bCs/>
                <w:sz w:val="24"/>
                <w:szCs w:val="24"/>
              </w:rPr>
              <w:t>2</w:t>
            </w:r>
            <w:r w:rsidRPr="00BE24BB">
              <w:rPr>
                <w:rFonts w:ascii="Times New Roman" w:hAnsi="Times New Roman" w:cs="Times New Roman"/>
                <w:b/>
                <w:bCs/>
                <w:sz w:val="24"/>
                <w:szCs w:val="24"/>
              </w:rPr>
              <w:t>.</w:t>
            </w:r>
          </w:p>
          <w:p w14:paraId="006F5795" w14:textId="492BD238" w:rsidR="00451054" w:rsidRPr="00C578BB" w:rsidRDefault="00451054" w:rsidP="00C578BB">
            <w:pPr>
              <w:spacing w:line="276" w:lineRule="auto"/>
              <w:rPr>
                <w:rFonts w:ascii="Times New Roman" w:eastAsia="Times New Roman" w:hAnsi="Times New Roman" w:cs="Times New Roman"/>
                <w:b/>
                <w:bCs/>
                <w:noProof w:val="0"/>
                <w:kern w:val="0"/>
                <w:sz w:val="24"/>
                <w:szCs w:val="24"/>
                <w14:ligatures w14:val="none"/>
              </w:rPr>
            </w:pPr>
            <w:r>
              <w:rPr>
                <w:rFonts w:ascii="Times New Roman" w:eastAsia="Times New Roman" w:hAnsi="Times New Roman" w:cs="Times New Roman"/>
                <w:b/>
                <w:bCs/>
                <w:noProof w:val="0"/>
                <w:kern w:val="0"/>
                <w:sz w:val="24"/>
                <w:szCs w:val="24"/>
                <w14:ligatures w14:val="none"/>
              </w:rPr>
              <w:t xml:space="preserve">UNAPRIJEDITI UVJETE RADA </w:t>
            </w:r>
          </w:p>
        </w:tc>
      </w:tr>
      <w:tr w:rsidR="00AD1C20" w14:paraId="7EA5FFE1" w14:textId="77777777" w:rsidTr="0081551E">
        <w:trPr>
          <w:trHeight w:val="2099"/>
        </w:trPr>
        <w:tc>
          <w:tcPr>
            <w:tcW w:w="9062" w:type="dxa"/>
          </w:tcPr>
          <w:p w14:paraId="21A496C1" w14:textId="77777777" w:rsidR="00AD1C20" w:rsidRPr="00451054" w:rsidRDefault="00AD1C20" w:rsidP="007427C4">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t>Posebni cilj 2.1.</w:t>
            </w:r>
          </w:p>
          <w:p w14:paraId="7578BF1B" w14:textId="77777777" w:rsidR="00AD1C20" w:rsidRDefault="00AD1C20" w:rsidP="007427C4">
            <w:pPr>
              <w:spacing w:line="276" w:lineRule="auto"/>
              <w:rPr>
                <w:rFonts w:ascii="Times New Roman" w:eastAsia="Times New Roman" w:hAnsi="Times New Roman"/>
                <w:b/>
                <w:bCs/>
                <w:noProof w:val="0"/>
                <w:sz w:val="24"/>
                <w:szCs w:val="24"/>
              </w:rPr>
            </w:pPr>
            <w:r w:rsidRPr="00451054">
              <w:rPr>
                <w:rFonts w:ascii="Times New Roman" w:eastAsia="Times New Roman" w:hAnsi="Times New Roman"/>
                <w:b/>
                <w:bCs/>
                <w:noProof w:val="0"/>
                <w:sz w:val="24"/>
                <w:szCs w:val="24"/>
              </w:rPr>
              <w:t>Unaprijediti uvjete na Gradskom groblju Mihovljan</w:t>
            </w:r>
          </w:p>
          <w:p w14:paraId="3324FD45" w14:textId="77777777" w:rsidR="00AD1C20" w:rsidRPr="00451054" w:rsidRDefault="00AD1C20" w:rsidP="007427C4">
            <w:pPr>
              <w:spacing w:line="276" w:lineRule="auto"/>
              <w:rPr>
                <w:rFonts w:ascii="Times New Roman" w:hAnsi="Times New Roman" w:cs="Times New Roman"/>
                <w:b/>
                <w:bCs/>
                <w:sz w:val="24"/>
                <w:szCs w:val="24"/>
              </w:rPr>
            </w:pPr>
          </w:p>
          <w:p w14:paraId="34486D70" w14:textId="77777777" w:rsidR="00AD1C20" w:rsidRDefault="00AD1C20" w:rsidP="00451054">
            <w:pPr>
              <w:spacing w:line="276" w:lineRule="auto"/>
              <w:jc w:val="both"/>
              <w:rPr>
                <w:rFonts w:ascii="Times New Roman" w:eastAsia="Times New Roman" w:hAnsi="Times New Roman" w:cs="Times New Roman"/>
                <w:noProof w:val="0"/>
                <w:kern w:val="0"/>
                <w14:ligatures w14:val="none"/>
              </w:rPr>
            </w:pPr>
            <w:r w:rsidRPr="00AF5773">
              <w:rPr>
                <w:rFonts w:ascii="Times New Roman" w:eastAsia="Times New Roman" w:hAnsi="Times New Roman" w:cs="Times New Roman"/>
                <w:noProof w:val="0"/>
                <w:kern w:val="0"/>
                <w14:ligatures w14:val="none"/>
              </w:rPr>
              <w:t>Groblje u Mihovljanu se kontinuirano proširuje sukladno zahtjevima Grada Čakovca, građana kao korisnika i potrebama izvršenja ukopa. Zgradu mrtvačnice treba kontinuirano održavati u primjerenom stanju radi izražavanja pijeteta prema umrlima čiji se posljednji ispraćaj odvija upravo u njoj.</w:t>
            </w:r>
          </w:p>
          <w:p w14:paraId="5DDCE765" w14:textId="64E0DDA9" w:rsidR="00AD1C20" w:rsidRPr="00451054" w:rsidRDefault="00AD1C20" w:rsidP="00451054">
            <w:pPr>
              <w:spacing w:line="276" w:lineRule="auto"/>
              <w:jc w:val="both"/>
              <w:rPr>
                <w:rFonts w:ascii="Times New Roman" w:hAnsi="Times New Roman" w:cs="Times New Roman"/>
                <w:b/>
                <w:bCs/>
                <w:sz w:val="24"/>
                <w:szCs w:val="24"/>
              </w:rPr>
            </w:pPr>
          </w:p>
        </w:tc>
      </w:tr>
      <w:tr w:rsidR="00AD1C20" w14:paraId="5149B307" w14:textId="77777777" w:rsidTr="00D829BF">
        <w:trPr>
          <w:trHeight w:val="1808"/>
        </w:trPr>
        <w:tc>
          <w:tcPr>
            <w:tcW w:w="9062" w:type="dxa"/>
          </w:tcPr>
          <w:p w14:paraId="7F314383" w14:textId="77777777" w:rsidR="00AD1C20" w:rsidRPr="00451054" w:rsidRDefault="00AD1C20" w:rsidP="00BE24BB">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t>Posebni cilj 2.2.</w:t>
            </w:r>
          </w:p>
          <w:p w14:paraId="78CE9D66" w14:textId="77777777" w:rsidR="00AD1C20" w:rsidRDefault="00AD1C20" w:rsidP="00BE24BB">
            <w:pPr>
              <w:spacing w:line="276" w:lineRule="auto"/>
              <w:rPr>
                <w:rFonts w:ascii="Times New Roman" w:eastAsia="Times New Roman" w:hAnsi="Times New Roman"/>
                <w:b/>
                <w:bCs/>
                <w:noProof w:val="0"/>
                <w:sz w:val="24"/>
                <w:szCs w:val="24"/>
              </w:rPr>
            </w:pPr>
            <w:r w:rsidRPr="00451054">
              <w:rPr>
                <w:rFonts w:ascii="Times New Roman" w:eastAsia="Times New Roman" w:hAnsi="Times New Roman"/>
                <w:b/>
                <w:bCs/>
                <w:noProof w:val="0"/>
                <w:sz w:val="24"/>
                <w:szCs w:val="24"/>
              </w:rPr>
              <w:t xml:space="preserve">Unaprijediti uvjete na Mjesnom groblju </w:t>
            </w:r>
            <w:proofErr w:type="spellStart"/>
            <w:r w:rsidRPr="00451054">
              <w:rPr>
                <w:rFonts w:ascii="Times New Roman" w:eastAsia="Times New Roman" w:hAnsi="Times New Roman"/>
                <w:b/>
                <w:bCs/>
                <w:noProof w:val="0"/>
                <w:sz w:val="24"/>
                <w:szCs w:val="24"/>
              </w:rPr>
              <w:t>Šandorovec</w:t>
            </w:r>
            <w:proofErr w:type="spellEnd"/>
          </w:p>
          <w:p w14:paraId="79928E00" w14:textId="77777777" w:rsidR="00AD1C20" w:rsidRPr="00451054" w:rsidRDefault="00AD1C20" w:rsidP="00BE24BB">
            <w:pPr>
              <w:spacing w:line="276" w:lineRule="auto"/>
              <w:rPr>
                <w:rFonts w:ascii="Times New Roman" w:hAnsi="Times New Roman" w:cs="Times New Roman"/>
                <w:b/>
                <w:bCs/>
                <w:sz w:val="24"/>
                <w:szCs w:val="24"/>
              </w:rPr>
            </w:pPr>
          </w:p>
          <w:p w14:paraId="297956C1" w14:textId="77777777" w:rsidR="00AD1C20" w:rsidRDefault="00AD1C20" w:rsidP="00BE24BB">
            <w:pPr>
              <w:spacing w:line="276" w:lineRule="auto"/>
              <w:rPr>
                <w:rFonts w:ascii="Times New Roman" w:eastAsia="Times New Roman" w:hAnsi="Times New Roman" w:cs="Times New Roman"/>
                <w:noProof w:val="0"/>
                <w:kern w:val="0"/>
                <w14:ligatures w14:val="none"/>
              </w:rPr>
            </w:pPr>
            <w:r w:rsidRPr="00AF5773">
              <w:rPr>
                <w:rFonts w:ascii="Times New Roman" w:eastAsia="Times New Roman" w:hAnsi="Times New Roman" w:cs="Times New Roman"/>
                <w:noProof w:val="0"/>
                <w:kern w:val="0"/>
                <w14:ligatures w14:val="none"/>
              </w:rPr>
              <w:t xml:space="preserve">Groblje u </w:t>
            </w:r>
            <w:proofErr w:type="spellStart"/>
            <w:r w:rsidRPr="00AF5773">
              <w:rPr>
                <w:rFonts w:ascii="Times New Roman" w:eastAsia="Times New Roman" w:hAnsi="Times New Roman" w:cs="Times New Roman"/>
                <w:noProof w:val="0"/>
                <w:kern w:val="0"/>
                <w14:ligatures w14:val="none"/>
              </w:rPr>
              <w:t>Šandorovcu</w:t>
            </w:r>
            <w:proofErr w:type="spellEnd"/>
            <w:r w:rsidRPr="00AF5773">
              <w:rPr>
                <w:rFonts w:ascii="Times New Roman" w:eastAsia="Times New Roman" w:hAnsi="Times New Roman" w:cs="Times New Roman"/>
                <w:noProof w:val="0"/>
                <w:kern w:val="0"/>
                <w14:ligatures w14:val="none"/>
              </w:rPr>
              <w:t xml:space="preserve"> potrebno je opremiti vodovodnom mrežom u novom dijelu groblja. Zgrad</w:t>
            </w:r>
            <w:r>
              <w:rPr>
                <w:rFonts w:ascii="Times New Roman" w:eastAsia="Times New Roman" w:hAnsi="Times New Roman" w:cs="Times New Roman"/>
                <w:noProof w:val="0"/>
                <w:kern w:val="0"/>
                <w14:ligatures w14:val="none"/>
              </w:rPr>
              <w:t>u</w:t>
            </w:r>
            <w:r w:rsidRPr="00AF5773">
              <w:rPr>
                <w:rFonts w:ascii="Times New Roman" w:eastAsia="Times New Roman" w:hAnsi="Times New Roman" w:cs="Times New Roman"/>
                <w:noProof w:val="0"/>
                <w:kern w:val="0"/>
                <w14:ligatures w14:val="none"/>
              </w:rPr>
              <w:t xml:space="preserve"> mrtvačnice treba kontinuirano održavati u primjerenom stanju radi izražavanja pijeteta prema umrlima čiji se posljednji ispraćaj odvija upravo u njoj.</w:t>
            </w:r>
          </w:p>
          <w:p w14:paraId="27E32D33" w14:textId="3F92D63A" w:rsidR="00AD1C20" w:rsidRPr="00451054" w:rsidRDefault="00AD1C20" w:rsidP="00BE24BB">
            <w:pPr>
              <w:spacing w:line="276" w:lineRule="auto"/>
              <w:rPr>
                <w:rFonts w:ascii="Times New Roman" w:hAnsi="Times New Roman" w:cs="Times New Roman"/>
                <w:b/>
                <w:bCs/>
                <w:sz w:val="24"/>
                <w:szCs w:val="24"/>
              </w:rPr>
            </w:pPr>
          </w:p>
        </w:tc>
      </w:tr>
      <w:tr w:rsidR="00AD1C20" w14:paraId="47C5EE18" w14:textId="77777777" w:rsidTr="008C2F55">
        <w:trPr>
          <w:trHeight w:val="1808"/>
        </w:trPr>
        <w:tc>
          <w:tcPr>
            <w:tcW w:w="9062" w:type="dxa"/>
          </w:tcPr>
          <w:p w14:paraId="2D9815D3" w14:textId="77777777" w:rsidR="00AD1C20" w:rsidRPr="00451054" w:rsidRDefault="00AD1C20" w:rsidP="00BE24BB">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lastRenderedPageBreak/>
              <w:t>Posebni cilj 2.3.</w:t>
            </w:r>
          </w:p>
          <w:p w14:paraId="7F279017" w14:textId="77777777" w:rsidR="00AD1C20" w:rsidRDefault="00AD1C20" w:rsidP="00BE24BB">
            <w:pPr>
              <w:spacing w:line="276" w:lineRule="auto"/>
              <w:rPr>
                <w:rFonts w:ascii="Times New Roman" w:eastAsia="Times New Roman" w:hAnsi="Times New Roman"/>
                <w:b/>
                <w:bCs/>
                <w:noProof w:val="0"/>
                <w:sz w:val="24"/>
                <w:szCs w:val="24"/>
              </w:rPr>
            </w:pPr>
            <w:r w:rsidRPr="00451054">
              <w:rPr>
                <w:rFonts w:ascii="Times New Roman" w:eastAsia="Times New Roman" w:hAnsi="Times New Roman"/>
                <w:b/>
                <w:bCs/>
                <w:noProof w:val="0"/>
                <w:sz w:val="24"/>
                <w:szCs w:val="24"/>
              </w:rPr>
              <w:t xml:space="preserve">Unaprijediti uvjete na Mjesnom groblju </w:t>
            </w:r>
            <w:proofErr w:type="spellStart"/>
            <w:r w:rsidRPr="00451054">
              <w:rPr>
                <w:rFonts w:ascii="Times New Roman" w:eastAsia="Times New Roman" w:hAnsi="Times New Roman"/>
                <w:b/>
                <w:bCs/>
                <w:noProof w:val="0"/>
                <w:sz w:val="24"/>
                <w:szCs w:val="24"/>
              </w:rPr>
              <w:t>Ivanovec</w:t>
            </w:r>
            <w:proofErr w:type="spellEnd"/>
          </w:p>
          <w:p w14:paraId="0C58DB9F" w14:textId="77777777" w:rsidR="00AD1C20" w:rsidRPr="00451054" w:rsidRDefault="00AD1C20" w:rsidP="00BE24BB">
            <w:pPr>
              <w:spacing w:line="276" w:lineRule="auto"/>
              <w:rPr>
                <w:rFonts w:ascii="Times New Roman" w:hAnsi="Times New Roman" w:cs="Times New Roman"/>
                <w:b/>
                <w:bCs/>
                <w:sz w:val="24"/>
                <w:szCs w:val="24"/>
              </w:rPr>
            </w:pPr>
          </w:p>
          <w:p w14:paraId="25AAFE84" w14:textId="5EB7FEDC" w:rsidR="00AD1C20" w:rsidRDefault="00AD1C20" w:rsidP="00451054">
            <w:pPr>
              <w:spacing w:line="276" w:lineRule="auto"/>
              <w:jc w:val="both"/>
              <w:rPr>
                <w:rFonts w:ascii="Times New Roman" w:hAnsi="Times New Roman" w:cs="Times New Roman"/>
                <w:b/>
                <w:bCs/>
                <w:sz w:val="24"/>
                <w:szCs w:val="24"/>
              </w:rPr>
            </w:pPr>
            <w:r w:rsidRPr="00AF5773">
              <w:rPr>
                <w:rFonts w:ascii="Times New Roman" w:eastAsia="Times New Roman" w:hAnsi="Times New Roman" w:cs="Times New Roman"/>
                <w:noProof w:val="0"/>
                <w:kern w:val="0"/>
                <w14:ligatures w14:val="none"/>
              </w:rPr>
              <w:t>Groblje u Ivanovcu se kontinuirano proširuje sukladno zahtjevima građana i potrebama izvršenja ukopa. Zgradu mrtvačnice treba kontinuirano održavati u primjerenom stanju radi izražavanja pijeteta prema umrlima čiji se posljednji ispraćaj odvija upravo u njoj</w:t>
            </w:r>
            <w:r>
              <w:rPr>
                <w:rFonts w:ascii="Times New Roman" w:eastAsia="Times New Roman" w:hAnsi="Times New Roman" w:cs="Times New Roman"/>
                <w:noProof w:val="0"/>
                <w:kern w:val="0"/>
                <w14:ligatures w14:val="none"/>
              </w:rPr>
              <w:t>.</w:t>
            </w:r>
          </w:p>
          <w:p w14:paraId="468A6EB5" w14:textId="385EF2DF" w:rsidR="00AD1C20" w:rsidRPr="00451054" w:rsidRDefault="00AD1C20" w:rsidP="00451054">
            <w:pPr>
              <w:spacing w:line="276" w:lineRule="auto"/>
              <w:jc w:val="both"/>
              <w:rPr>
                <w:rFonts w:ascii="Times New Roman" w:hAnsi="Times New Roman" w:cs="Times New Roman"/>
                <w:b/>
                <w:bCs/>
                <w:sz w:val="24"/>
                <w:szCs w:val="24"/>
              </w:rPr>
            </w:pPr>
          </w:p>
        </w:tc>
      </w:tr>
      <w:tr w:rsidR="00AD1C20" w14:paraId="56C23E69" w14:textId="77777777" w:rsidTr="00BA4AB4">
        <w:trPr>
          <w:trHeight w:val="1518"/>
        </w:trPr>
        <w:tc>
          <w:tcPr>
            <w:tcW w:w="9062" w:type="dxa"/>
          </w:tcPr>
          <w:p w14:paraId="3FF007F2" w14:textId="77777777" w:rsidR="00AD1C20" w:rsidRPr="00451054" w:rsidRDefault="00AD1C20" w:rsidP="007427C4">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t>Posebni cilj 2.4.</w:t>
            </w:r>
          </w:p>
          <w:p w14:paraId="601688EB" w14:textId="77777777" w:rsidR="00AD1C20" w:rsidRDefault="00AD1C20" w:rsidP="007427C4">
            <w:pPr>
              <w:spacing w:line="276" w:lineRule="auto"/>
              <w:rPr>
                <w:rFonts w:ascii="Times New Roman" w:eastAsia="Times New Roman" w:hAnsi="Times New Roman"/>
                <w:b/>
                <w:bCs/>
                <w:noProof w:val="0"/>
                <w:sz w:val="24"/>
                <w:szCs w:val="24"/>
              </w:rPr>
            </w:pPr>
            <w:r w:rsidRPr="00451054">
              <w:rPr>
                <w:rFonts w:ascii="Times New Roman" w:eastAsia="Times New Roman" w:hAnsi="Times New Roman"/>
                <w:b/>
                <w:bCs/>
                <w:noProof w:val="0"/>
                <w:sz w:val="24"/>
                <w:szCs w:val="24"/>
              </w:rPr>
              <w:t>Unaprijediti radne uvjete na objektima GKP ČAKOM d.o.o.</w:t>
            </w:r>
          </w:p>
          <w:p w14:paraId="0D1EA681" w14:textId="77777777" w:rsidR="00AD1C20" w:rsidRPr="00451054" w:rsidRDefault="00AD1C20" w:rsidP="007427C4">
            <w:pPr>
              <w:spacing w:line="276" w:lineRule="auto"/>
              <w:rPr>
                <w:rFonts w:ascii="Times New Roman" w:hAnsi="Times New Roman" w:cs="Times New Roman"/>
                <w:b/>
                <w:bCs/>
                <w:sz w:val="24"/>
                <w:szCs w:val="24"/>
              </w:rPr>
            </w:pPr>
          </w:p>
          <w:p w14:paraId="5B8F8C3E" w14:textId="77777777" w:rsidR="00AD1C20" w:rsidRDefault="00AD1C20" w:rsidP="00526C98">
            <w:pPr>
              <w:spacing w:line="276" w:lineRule="auto"/>
              <w:contextualSpacing/>
              <w:rPr>
                <w:rFonts w:ascii="Times New Roman" w:hAnsi="Times New Roman" w:cs="Times New Roman"/>
              </w:rPr>
            </w:pPr>
            <w:r w:rsidRPr="007C497A">
              <w:rPr>
                <w:rFonts w:ascii="Times New Roman" w:hAnsi="Times New Roman" w:cs="Times New Roman"/>
              </w:rPr>
              <w:t xml:space="preserve">Cilj podrazumijeva ulaganja u objekte GKP ČAKOM d.o.o. </w:t>
            </w:r>
            <w:r w:rsidRPr="00C338C1">
              <w:rPr>
                <w:rFonts w:ascii="Times New Roman" w:hAnsi="Times New Roman" w:cs="Times New Roman"/>
              </w:rPr>
              <w:t>radi unapređenja radnih uvjeta i ekonomičnosti poslovanja.</w:t>
            </w:r>
          </w:p>
          <w:p w14:paraId="388B6584" w14:textId="12682214" w:rsidR="00AD1C20" w:rsidRPr="00451054" w:rsidRDefault="00AD1C20" w:rsidP="00451054">
            <w:pPr>
              <w:spacing w:line="276" w:lineRule="auto"/>
              <w:ind w:left="227"/>
              <w:contextualSpacing/>
              <w:jc w:val="both"/>
              <w:rPr>
                <w:rFonts w:ascii="Times New Roman" w:hAnsi="Times New Roman" w:cs="Times New Roman"/>
                <w:b/>
                <w:bCs/>
                <w:sz w:val="24"/>
                <w:szCs w:val="24"/>
              </w:rPr>
            </w:pPr>
          </w:p>
        </w:tc>
      </w:tr>
    </w:tbl>
    <w:p w14:paraId="0A6BAF99" w14:textId="77777777" w:rsidR="00BE24BB" w:rsidRDefault="00BE24BB" w:rsidP="00BE24BB">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62"/>
      </w:tblGrid>
      <w:tr w:rsidR="00451054" w14:paraId="4A75F3D0" w14:textId="77777777" w:rsidTr="00022F2A">
        <w:trPr>
          <w:trHeight w:val="672"/>
        </w:trPr>
        <w:tc>
          <w:tcPr>
            <w:tcW w:w="9062" w:type="dxa"/>
            <w:shd w:val="clear" w:color="auto" w:fill="A8D08D" w:themeFill="accent6" w:themeFillTint="99"/>
            <w:vAlign w:val="center"/>
          </w:tcPr>
          <w:p w14:paraId="4FFDE7C3" w14:textId="77777777" w:rsidR="00451054" w:rsidRPr="00BE24BB" w:rsidRDefault="00451054" w:rsidP="00C578BB">
            <w:pPr>
              <w:spacing w:line="276" w:lineRule="auto"/>
              <w:rPr>
                <w:rFonts w:ascii="Times New Roman" w:hAnsi="Times New Roman" w:cs="Times New Roman"/>
                <w:b/>
                <w:bCs/>
                <w:sz w:val="24"/>
                <w:szCs w:val="24"/>
              </w:rPr>
            </w:pPr>
            <w:r w:rsidRPr="00BE24BB">
              <w:rPr>
                <w:rFonts w:ascii="Times New Roman" w:hAnsi="Times New Roman" w:cs="Times New Roman"/>
                <w:b/>
                <w:bCs/>
                <w:sz w:val="24"/>
                <w:szCs w:val="24"/>
              </w:rPr>
              <w:t xml:space="preserve">OPĆI CILJ </w:t>
            </w:r>
            <w:r>
              <w:rPr>
                <w:rFonts w:ascii="Times New Roman" w:hAnsi="Times New Roman" w:cs="Times New Roman"/>
                <w:b/>
                <w:bCs/>
                <w:sz w:val="24"/>
                <w:szCs w:val="24"/>
              </w:rPr>
              <w:t>3</w:t>
            </w:r>
            <w:r w:rsidRPr="00BE24BB">
              <w:rPr>
                <w:rFonts w:ascii="Times New Roman" w:hAnsi="Times New Roman" w:cs="Times New Roman"/>
                <w:b/>
                <w:bCs/>
                <w:sz w:val="24"/>
                <w:szCs w:val="24"/>
              </w:rPr>
              <w:t>.</w:t>
            </w:r>
          </w:p>
          <w:p w14:paraId="64F94917" w14:textId="67134953" w:rsidR="00451054" w:rsidRPr="00BE24BB" w:rsidRDefault="00451054" w:rsidP="00C578BB">
            <w:pPr>
              <w:spacing w:line="276" w:lineRule="auto"/>
              <w:rPr>
                <w:rFonts w:ascii="Times New Roman" w:hAnsi="Times New Roman" w:cs="Times New Roman"/>
                <w:b/>
                <w:bCs/>
                <w:sz w:val="24"/>
                <w:szCs w:val="24"/>
              </w:rPr>
            </w:pPr>
            <w:r w:rsidRPr="00F14803">
              <w:rPr>
                <w:rFonts w:ascii="Times New Roman" w:hAnsi="Times New Roman" w:cs="Times New Roman"/>
                <w:b/>
                <w:bCs/>
                <w:sz w:val="24"/>
                <w:szCs w:val="24"/>
              </w:rPr>
              <w:t>STABILNO I DUGOROČNO ODRŽIVO POSLOVANJE</w:t>
            </w:r>
          </w:p>
        </w:tc>
      </w:tr>
      <w:tr w:rsidR="00AD1C20" w14:paraId="0DD81F42" w14:textId="77777777" w:rsidTr="005C4EF8">
        <w:trPr>
          <w:trHeight w:val="3290"/>
        </w:trPr>
        <w:tc>
          <w:tcPr>
            <w:tcW w:w="9062" w:type="dxa"/>
          </w:tcPr>
          <w:p w14:paraId="414F7C38" w14:textId="77777777" w:rsidR="00AD1C20" w:rsidRPr="00451054" w:rsidRDefault="00AD1C20" w:rsidP="007427C4">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t>Posebni cilj 3.1.</w:t>
            </w:r>
          </w:p>
          <w:p w14:paraId="5D1329FF" w14:textId="77777777" w:rsidR="00AD1C20" w:rsidRDefault="00AD1C20" w:rsidP="007427C4">
            <w:pPr>
              <w:spacing w:line="276" w:lineRule="auto"/>
              <w:rPr>
                <w:rFonts w:ascii="Times New Roman" w:hAnsi="Times New Roman"/>
                <w:b/>
                <w:bCs/>
                <w:sz w:val="24"/>
                <w:szCs w:val="24"/>
              </w:rPr>
            </w:pPr>
            <w:r w:rsidRPr="00451054">
              <w:rPr>
                <w:rFonts w:ascii="Times New Roman" w:hAnsi="Times New Roman"/>
                <w:b/>
                <w:bCs/>
                <w:sz w:val="24"/>
                <w:szCs w:val="24"/>
              </w:rPr>
              <w:t>Osigurati financijska sredstva za održivost redovnog poslovanja i provedbu strateških ciljeva</w:t>
            </w:r>
          </w:p>
          <w:p w14:paraId="2321032C" w14:textId="77777777" w:rsidR="00AD1C20" w:rsidRPr="00451054" w:rsidRDefault="00AD1C20" w:rsidP="007427C4">
            <w:pPr>
              <w:spacing w:line="276" w:lineRule="auto"/>
              <w:rPr>
                <w:rFonts w:ascii="Times New Roman" w:hAnsi="Times New Roman" w:cs="Times New Roman"/>
                <w:b/>
                <w:bCs/>
                <w:sz w:val="24"/>
                <w:szCs w:val="24"/>
              </w:rPr>
            </w:pPr>
          </w:p>
          <w:p w14:paraId="433F0643" w14:textId="77777777" w:rsidR="00AD1C20" w:rsidRDefault="00AD1C20" w:rsidP="00451054">
            <w:pPr>
              <w:spacing w:line="276" w:lineRule="auto"/>
              <w:jc w:val="both"/>
              <w:rPr>
                <w:rFonts w:ascii="Times New Roman" w:hAnsi="Times New Roman" w:cs="Times New Roman"/>
              </w:rPr>
            </w:pPr>
            <w:r>
              <w:rPr>
                <w:rFonts w:ascii="Times New Roman" w:hAnsi="Times New Roman" w:cs="Times New Roman"/>
              </w:rPr>
              <w:t>Financijsko upravljanje u smislu osiguranja financijskih sredstava za održivost redovnog poslovanja Društva i provedbu strateških ciljeva usmjereno je na planiranje prihoda i poduzimanje mjera radi osiguranja kontinuiranog priljeva prihoda iz redovne djelatnosti Društva. Planiranje prihoda provodi se kroz izradu i donošenje godišnjeg Plana poslovanja Društva. Radi održivosti poslovanja, potrebno je kontinuirano osiguranje priljeva prihoda, što iz perspektive financijskog upravljanja podrazumijeva redovno praćenje naplate potraživanja te pravovremeno poduzimanje mjera naplate dospjelih potraživanja.</w:t>
            </w:r>
          </w:p>
          <w:p w14:paraId="5928D09E" w14:textId="782512CF" w:rsidR="00AD1C20" w:rsidRPr="00451054" w:rsidRDefault="00AD1C20" w:rsidP="00451054">
            <w:pPr>
              <w:spacing w:line="276" w:lineRule="auto"/>
              <w:jc w:val="both"/>
              <w:rPr>
                <w:rFonts w:ascii="Times New Roman" w:hAnsi="Times New Roman" w:cs="Times New Roman"/>
                <w:b/>
                <w:bCs/>
                <w:sz w:val="24"/>
                <w:szCs w:val="24"/>
              </w:rPr>
            </w:pPr>
          </w:p>
        </w:tc>
      </w:tr>
      <w:tr w:rsidR="00AD1C20" w14:paraId="51B9DD7D" w14:textId="77777777" w:rsidTr="005156F5">
        <w:trPr>
          <w:trHeight w:val="2390"/>
        </w:trPr>
        <w:tc>
          <w:tcPr>
            <w:tcW w:w="9062" w:type="dxa"/>
          </w:tcPr>
          <w:p w14:paraId="7C7F3B0F" w14:textId="77777777" w:rsidR="00AD1C20" w:rsidRPr="00451054" w:rsidRDefault="00AD1C20" w:rsidP="007427C4">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t>Posebni cilj 3.2.</w:t>
            </w:r>
          </w:p>
          <w:p w14:paraId="467528DD" w14:textId="77777777" w:rsidR="00AD1C20" w:rsidRDefault="00AD1C20" w:rsidP="007427C4">
            <w:pPr>
              <w:spacing w:line="276" w:lineRule="auto"/>
              <w:rPr>
                <w:rFonts w:ascii="Times New Roman" w:hAnsi="Times New Roman"/>
                <w:b/>
                <w:bCs/>
                <w:sz w:val="24"/>
                <w:szCs w:val="24"/>
              </w:rPr>
            </w:pPr>
            <w:r w:rsidRPr="00451054">
              <w:rPr>
                <w:rFonts w:ascii="Times New Roman" w:hAnsi="Times New Roman"/>
                <w:b/>
                <w:bCs/>
                <w:sz w:val="24"/>
                <w:szCs w:val="24"/>
              </w:rPr>
              <w:t>Upravljanje troškovima</w:t>
            </w:r>
          </w:p>
          <w:p w14:paraId="0127E30E" w14:textId="77777777" w:rsidR="00AD1C20" w:rsidRPr="00451054" w:rsidRDefault="00AD1C20" w:rsidP="007427C4">
            <w:pPr>
              <w:spacing w:line="276" w:lineRule="auto"/>
              <w:rPr>
                <w:rFonts w:ascii="Times New Roman" w:hAnsi="Times New Roman" w:cs="Times New Roman"/>
                <w:b/>
                <w:bCs/>
                <w:sz w:val="24"/>
                <w:szCs w:val="24"/>
              </w:rPr>
            </w:pPr>
          </w:p>
          <w:p w14:paraId="17AD8BBE" w14:textId="77777777" w:rsidR="00AD1C20" w:rsidRDefault="00AD1C20" w:rsidP="00451054">
            <w:pPr>
              <w:spacing w:line="276" w:lineRule="auto"/>
              <w:jc w:val="both"/>
              <w:rPr>
                <w:rFonts w:ascii="Times New Roman" w:hAnsi="Times New Roman" w:cs="Times New Roman"/>
              </w:rPr>
            </w:pPr>
            <w:r w:rsidRPr="006E698E">
              <w:rPr>
                <w:rFonts w:ascii="Times New Roman" w:hAnsi="Times New Roman" w:cs="Times New Roman"/>
              </w:rPr>
              <w:t>Upravljanje troškovima</w:t>
            </w:r>
            <w:r>
              <w:rPr>
                <w:rFonts w:ascii="Times New Roman" w:hAnsi="Times New Roman" w:cs="Times New Roman"/>
              </w:rPr>
              <w:t>, kao neizostavan element</w:t>
            </w:r>
            <w:r w:rsidRPr="006E698E">
              <w:rPr>
                <w:rFonts w:ascii="Times New Roman" w:hAnsi="Times New Roman" w:cs="Times New Roman"/>
              </w:rPr>
              <w:t xml:space="preserve"> strateškog upravljanja</w:t>
            </w:r>
            <w:r>
              <w:rPr>
                <w:rFonts w:ascii="Times New Roman" w:hAnsi="Times New Roman" w:cs="Times New Roman"/>
              </w:rPr>
              <w:t xml:space="preserve">, podrazumijeva </w:t>
            </w:r>
            <w:r w:rsidRPr="006E698E">
              <w:rPr>
                <w:rFonts w:ascii="Times New Roman" w:hAnsi="Times New Roman" w:cs="Times New Roman"/>
              </w:rPr>
              <w:t>planiranje, praćenje i analizu troškova</w:t>
            </w:r>
            <w:r>
              <w:rPr>
                <w:rFonts w:ascii="Times New Roman" w:hAnsi="Times New Roman" w:cs="Times New Roman"/>
              </w:rPr>
              <w:t xml:space="preserve"> Društva.</w:t>
            </w:r>
            <w:r w:rsidRPr="006E698E">
              <w:rPr>
                <w:rFonts w:ascii="Times New Roman" w:hAnsi="Times New Roman" w:cs="Times New Roman"/>
              </w:rPr>
              <w:t xml:space="preserve"> Planiranje troškova provodi se kroz</w:t>
            </w:r>
            <w:r>
              <w:rPr>
                <w:rFonts w:ascii="Times New Roman" w:hAnsi="Times New Roman" w:cs="Times New Roman"/>
              </w:rPr>
              <w:t xml:space="preserve"> izradu i donošenja godišnjeg </w:t>
            </w:r>
            <w:r w:rsidRPr="006E698E">
              <w:rPr>
                <w:rFonts w:ascii="Times New Roman" w:hAnsi="Times New Roman" w:cs="Times New Roman"/>
              </w:rPr>
              <w:t>Plan</w:t>
            </w:r>
            <w:r>
              <w:rPr>
                <w:rFonts w:ascii="Times New Roman" w:hAnsi="Times New Roman" w:cs="Times New Roman"/>
              </w:rPr>
              <w:t>a</w:t>
            </w:r>
            <w:r w:rsidRPr="006E698E">
              <w:rPr>
                <w:rFonts w:ascii="Times New Roman" w:hAnsi="Times New Roman" w:cs="Times New Roman"/>
              </w:rPr>
              <w:t xml:space="preserve"> poslovanja Društva. Kontinuiran</w:t>
            </w:r>
            <w:r>
              <w:rPr>
                <w:rFonts w:ascii="Times New Roman" w:hAnsi="Times New Roman" w:cs="Times New Roman"/>
              </w:rPr>
              <w:t>o</w:t>
            </w:r>
            <w:r w:rsidRPr="006E698E">
              <w:rPr>
                <w:rFonts w:ascii="Times New Roman" w:hAnsi="Times New Roman" w:cs="Times New Roman"/>
              </w:rPr>
              <w:t xml:space="preserve"> praćenje</w:t>
            </w:r>
            <w:r>
              <w:rPr>
                <w:rFonts w:ascii="Times New Roman" w:hAnsi="Times New Roman" w:cs="Times New Roman"/>
              </w:rPr>
              <w:t xml:space="preserve"> i analiza </w:t>
            </w:r>
            <w:r w:rsidRPr="006E698E">
              <w:rPr>
                <w:rFonts w:ascii="Times New Roman" w:hAnsi="Times New Roman" w:cs="Times New Roman"/>
              </w:rPr>
              <w:t xml:space="preserve"> troškova </w:t>
            </w:r>
            <w:r>
              <w:rPr>
                <w:rFonts w:ascii="Times New Roman" w:hAnsi="Times New Roman" w:cs="Times New Roman"/>
              </w:rPr>
              <w:t>omogućuje</w:t>
            </w:r>
            <w:r w:rsidRPr="006E698E">
              <w:rPr>
                <w:rFonts w:ascii="Times New Roman" w:hAnsi="Times New Roman" w:cs="Times New Roman"/>
              </w:rPr>
              <w:t xml:space="preserve"> Društvu da ocjeni trenutn</w:t>
            </w:r>
            <w:r>
              <w:rPr>
                <w:rFonts w:ascii="Times New Roman" w:hAnsi="Times New Roman" w:cs="Times New Roman"/>
              </w:rPr>
              <w:t>u</w:t>
            </w:r>
            <w:r w:rsidRPr="006E698E">
              <w:rPr>
                <w:rFonts w:ascii="Times New Roman" w:hAnsi="Times New Roman" w:cs="Times New Roman"/>
              </w:rPr>
              <w:t xml:space="preserve"> pozicij</w:t>
            </w:r>
            <w:r>
              <w:rPr>
                <w:rFonts w:ascii="Times New Roman" w:hAnsi="Times New Roman" w:cs="Times New Roman"/>
              </w:rPr>
              <w:t>u</w:t>
            </w:r>
            <w:r w:rsidRPr="006E698E">
              <w:rPr>
                <w:rFonts w:ascii="Times New Roman" w:hAnsi="Times New Roman" w:cs="Times New Roman"/>
              </w:rPr>
              <w:t xml:space="preserve"> te</w:t>
            </w:r>
            <w:r>
              <w:rPr>
                <w:rFonts w:ascii="Times New Roman" w:hAnsi="Times New Roman" w:cs="Times New Roman"/>
              </w:rPr>
              <w:t xml:space="preserve"> da se </w:t>
            </w:r>
            <w:r w:rsidRPr="006E698E">
              <w:rPr>
                <w:rFonts w:ascii="Times New Roman" w:hAnsi="Times New Roman" w:cs="Times New Roman"/>
              </w:rPr>
              <w:t xml:space="preserve"> predvide nadolazeći troškovi kako bi stvarni troškovi bili u okviru planiranih.</w:t>
            </w:r>
          </w:p>
          <w:p w14:paraId="5C981711" w14:textId="4C809920" w:rsidR="00AD1C20" w:rsidRPr="00451054" w:rsidRDefault="00AD1C20" w:rsidP="00451054">
            <w:pPr>
              <w:spacing w:line="276" w:lineRule="auto"/>
              <w:jc w:val="both"/>
              <w:rPr>
                <w:rFonts w:ascii="Times New Roman" w:hAnsi="Times New Roman" w:cs="Times New Roman"/>
                <w:b/>
                <w:bCs/>
                <w:sz w:val="24"/>
                <w:szCs w:val="24"/>
              </w:rPr>
            </w:pPr>
          </w:p>
        </w:tc>
      </w:tr>
      <w:tr w:rsidR="00AD1C20" w14:paraId="392C2DBB" w14:textId="77777777" w:rsidTr="00BD0BC9">
        <w:trPr>
          <w:trHeight w:val="2390"/>
        </w:trPr>
        <w:tc>
          <w:tcPr>
            <w:tcW w:w="9062" w:type="dxa"/>
          </w:tcPr>
          <w:p w14:paraId="4D7B1DD7" w14:textId="77777777" w:rsidR="00AD1C20" w:rsidRPr="00451054" w:rsidRDefault="00AD1C20" w:rsidP="007427C4">
            <w:pPr>
              <w:spacing w:line="276" w:lineRule="auto"/>
              <w:rPr>
                <w:rFonts w:ascii="Times New Roman" w:hAnsi="Times New Roman" w:cs="Times New Roman"/>
                <w:b/>
                <w:bCs/>
                <w:sz w:val="24"/>
                <w:szCs w:val="24"/>
              </w:rPr>
            </w:pPr>
            <w:r w:rsidRPr="00451054">
              <w:rPr>
                <w:rFonts w:ascii="Times New Roman" w:hAnsi="Times New Roman" w:cs="Times New Roman"/>
                <w:b/>
                <w:bCs/>
                <w:sz w:val="24"/>
                <w:szCs w:val="24"/>
              </w:rPr>
              <w:t>Posebni cilj 3.3.</w:t>
            </w:r>
          </w:p>
          <w:p w14:paraId="5D8ABA70" w14:textId="77777777" w:rsidR="00AD1C20" w:rsidRDefault="00AD1C20" w:rsidP="007427C4">
            <w:pPr>
              <w:spacing w:line="276" w:lineRule="auto"/>
              <w:rPr>
                <w:rFonts w:ascii="Times New Roman" w:hAnsi="Times New Roman"/>
                <w:b/>
                <w:bCs/>
                <w:sz w:val="24"/>
                <w:szCs w:val="24"/>
              </w:rPr>
            </w:pPr>
            <w:r w:rsidRPr="00451054">
              <w:rPr>
                <w:rFonts w:ascii="Times New Roman" w:hAnsi="Times New Roman"/>
                <w:b/>
                <w:bCs/>
                <w:sz w:val="24"/>
                <w:szCs w:val="24"/>
              </w:rPr>
              <w:t>Ulaganje u zaposlene</w:t>
            </w:r>
          </w:p>
          <w:p w14:paraId="0EF14BF1" w14:textId="77777777" w:rsidR="00AD1C20" w:rsidRPr="00451054" w:rsidRDefault="00AD1C20" w:rsidP="007427C4">
            <w:pPr>
              <w:spacing w:line="276" w:lineRule="auto"/>
              <w:rPr>
                <w:rFonts w:ascii="Times New Roman" w:hAnsi="Times New Roman" w:cs="Times New Roman"/>
                <w:b/>
                <w:bCs/>
                <w:sz w:val="24"/>
                <w:szCs w:val="24"/>
              </w:rPr>
            </w:pPr>
          </w:p>
          <w:p w14:paraId="6AAE3B77" w14:textId="6E049821" w:rsidR="009B3684" w:rsidRPr="00451054" w:rsidRDefault="00AD1C20" w:rsidP="00BF0316">
            <w:pPr>
              <w:spacing w:line="276" w:lineRule="auto"/>
              <w:jc w:val="both"/>
              <w:rPr>
                <w:rFonts w:ascii="Times New Roman" w:hAnsi="Times New Roman" w:cs="Times New Roman"/>
                <w:b/>
                <w:bCs/>
                <w:sz w:val="24"/>
                <w:szCs w:val="24"/>
              </w:rPr>
            </w:pPr>
            <w:r w:rsidRPr="00BE6EFC">
              <w:rPr>
                <w:rFonts w:ascii="Times New Roman" w:hAnsi="Times New Roman" w:cs="Times New Roman"/>
              </w:rPr>
              <w:t>Upra</w:t>
            </w:r>
            <w:r>
              <w:rPr>
                <w:rFonts w:ascii="Times New Roman" w:hAnsi="Times New Roman" w:cs="Times New Roman"/>
              </w:rPr>
              <w:t>v</w:t>
            </w:r>
            <w:r w:rsidRPr="00BE6EFC">
              <w:rPr>
                <w:rFonts w:ascii="Times New Roman" w:hAnsi="Times New Roman" w:cs="Times New Roman"/>
              </w:rPr>
              <w:t xml:space="preserve">ljanje ljudskih resursima </w:t>
            </w:r>
            <w:r>
              <w:rPr>
                <w:rFonts w:ascii="Times New Roman" w:hAnsi="Times New Roman" w:cs="Times New Roman"/>
              </w:rPr>
              <w:t>predstavlja</w:t>
            </w:r>
            <w:r w:rsidRPr="00BE6EFC">
              <w:rPr>
                <w:rFonts w:ascii="Times New Roman" w:hAnsi="Times New Roman" w:cs="Times New Roman"/>
              </w:rPr>
              <w:t xml:space="preserve"> strategijski pristup upravljanju najvrijednijim </w:t>
            </w:r>
            <w:r>
              <w:rPr>
                <w:rFonts w:ascii="Times New Roman" w:hAnsi="Times New Roman" w:cs="Times New Roman"/>
              </w:rPr>
              <w:t>faktorom</w:t>
            </w:r>
            <w:r w:rsidRPr="00BE6EFC">
              <w:rPr>
                <w:rFonts w:ascii="Times New Roman" w:hAnsi="Times New Roman" w:cs="Times New Roman"/>
              </w:rPr>
              <w:t xml:space="preserve"> </w:t>
            </w:r>
            <w:r>
              <w:rPr>
                <w:rFonts w:ascii="Times New Roman" w:hAnsi="Times New Roman" w:cs="Times New Roman"/>
              </w:rPr>
              <w:t xml:space="preserve">Društva </w:t>
            </w:r>
            <w:r w:rsidRPr="00BE6EFC">
              <w:rPr>
                <w:rFonts w:ascii="Times New Roman" w:hAnsi="Times New Roman" w:cs="Times New Roman"/>
              </w:rPr>
              <w:t>-</w:t>
            </w:r>
            <w:r>
              <w:rPr>
                <w:rFonts w:ascii="Times New Roman" w:hAnsi="Times New Roman" w:cs="Times New Roman"/>
              </w:rPr>
              <w:t xml:space="preserve"> </w:t>
            </w:r>
            <w:r w:rsidRPr="00BE6EFC">
              <w:rPr>
                <w:rFonts w:ascii="Times New Roman" w:hAnsi="Times New Roman" w:cs="Times New Roman"/>
              </w:rPr>
              <w:t>svojim zaposlenicima, stoga je potreban fokus na rast i razvoj ljudskih potencijala</w:t>
            </w:r>
            <w:r>
              <w:rPr>
                <w:rFonts w:ascii="Times New Roman" w:hAnsi="Times New Roman" w:cs="Times New Roman"/>
              </w:rPr>
              <w:t xml:space="preserve">, osobito u dijelu zaštite zdravlja i sigurnosti na radnom mjestu. Navedeno se provodi kroz </w:t>
            </w:r>
            <w:r w:rsidRPr="00BE6EFC">
              <w:rPr>
                <w:rFonts w:ascii="Times New Roman" w:hAnsi="Times New Roman" w:cs="Times New Roman"/>
              </w:rPr>
              <w:t>aktivnosti obuke djelatnika</w:t>
            </w:r>
            <w:r>
              <w:rPr>
                <w:rFonts w:ascii="Times New Roman" w:hAnsi="Times New Roman" w:cs="Times New Roman"/>
              </w:rPr>
              <w:t xml:space="preserve"> te poticanje zaposlenih u pogledu unapređenja stupnja naobrazbe putem seminara, edukacija i sl.</w:t>
            </w:r>
          </w:p>
        </w:tc>
      </w:tr>
    </w:tbl>
    <w:p w14:paraId="3B8DED80" w14:textId="7EF0FEEF" w:rsidR="000451BC" w:rsidRPr="000451BC" w:rsidRDefault="009B3684" w:rsidP="000451BC">
      <w:r>
        <w:rPr>
          <w:rFonts w:ascii="Times New Roman" w:eastAsiaTheme="majorEastAsia" w:hAnsi="Times New Roman" w:cstheme="majorBidi"/>
          <w:b/>
          <w:sz w:val="28"/>
          <w:szCs w:val="32"/>
        </w:rPr>
        <w:lastRenderedPageBreak/>
        <w:t>8</w:t>
      </w:r>
      <w:r w:rsidR="004932D8" w:rsidRPr="004932D8">
        <w:rPr>
          <w:rFonts w:ascii="Times New Roman" w:eastAsiaTheme="majorEastAsia" w:hAnsi="Times New Roman" w:cstheme="majorBidi"/>
          <w:b/>
          <w:sz w:val="28"/>
          <w:szCs w:val="32"/>
        </w:rPr>
        <w:t xml:space="preserve">. </w:t>
      </w:r>
      <w:r w:rsidR="004932D8" w:rsidRPr="004932D8">
        <w:rPr>
          <w:rStyle w:val="Naslov1Char"/>
        </w:rPr>
        <w:t>PROVEDBA STRATEŠKOG PLANA 2023.-2026.g.</w:t>
      </w:r>
    </w:p>
    <w:p w14:paraId="68051440" w14:textId="7047BB3D" w:rsidR="000451BC" w:rsidRDefault="00EF1CE6" w:rsidP="000451BC">
      <w:pPr>
        <w:spacing w:line="276" w:lineRule="auto"/>
        <w:jc w:val="both"/>
        <w:rPr>
          <w:rFonts w:ascii="Times New Roman" w:hAnsi="Times New Roman" w:cs="Times New Roman"/>
          <w:sz w:val="24"/>
          <w:szCs w:val="24"/>
        </w:rPr>
      </w:pPr>
      <w:r w:rsidRPr="00C338C1">
        <w:rPr>
          <w:rFonts w:ascii="Times New Roman" w:hAnsi="Times New Roman" w:cs="Times New Roman"/>
          <w:sz w:val="24"/>
          <w:szCs w:val="24"/>
        </w:rPr>
        <w:t xml:space="preserve">Provedba Strateškog plana temelji se na </w:t>
      </w:r>
      <w:r w:rsidR="0068700A">
        <w:rPr>
          <w:rFonts w:ascii="Times New Roman" w:hAnsi="Times New Roman" w:cs="Times New Roman"/>
          <w:sz w:val="24"/>
          <w:szCs w:val="24"/>
        </w:rPr>
        <w:t xml:space="preserve">planiranim </w:t>
      </w:r>
      <w:r w:rsidRPr="00C338C1">
        <w:rPr>
          <w:rFonts w:ascii="Times New Roman" w:hAnsi="Times New Roman" w:cs="Times New Roman"/>
          <w:sz w:val="24"/>
          <w:szCs w:val="24"/>
        </w:rPr>
        <w:t xml:space="preserve"> pojedinačni</w:t>
      </w:r>
      <w:r w:rsidR="0068700A">
        <w:rPr>
          <w:rFonts w:ascii="Times New Roman" w:hAnsi="Times New Roman" w:cs="Times New Roman"/>
          <w:sz w:val="24"/>
          <w:szCs w:val="24"/>
        </w:rPr>
        <w:t>m</w:t>
      </w:r>
      <w:r w:rsidRPr="00C338C1">
        <w:rPr>
          <w:rFonts w:ascii="Times New Roman" w:hAnsi="Times New Roman" w:cs="Times New Roman"/>
          <w:sz w:val="24"/>
          <w:szCs w:val="24"/>
        </w:rPr>
        <w:t xml:space="preserve"> </w:t>
      </w:r>
      <w:r>
        <w:rPr>
          <w:rFonts w:ascii="Times New Roman" w:hAnsi="Times New Roman" w:cs="Times New Roman"/>
          <w:sz w:val="24"/>
          <w:szCs w:val="24"/>
        </w:rPr>
        <w:t>operativni</w:t>
      </w:r>
      <w:r w:rsidR="0068700A">
        <w:rPr>
          <w:rFonts w:ascii="Times New Roman" w:hAnsi="Times New Roman" w:cs="Times New Roman"/>
          <w:sz w:val="24"/>
          <w:szCs w:val="24"/>
        </w:rPr>
        <w:t>m</w:t>
      </w:r>
      <w:r w:rsidRPr="00C338C1">
        <w:rPr>
          <w:rFonts w:ascii="Times New Roman" w:hAnsi="Times New Roman" w:cs="Times New Roman"/>
          <w:sz w:val="24"/>
          <w:szCs w:val="24"/>
        </w:rPr>
        <w:t xml:space="preserve"> aktivnosti</w:t>
      </w:r>
      <w:r w:rsidR="0068700A">
        <w:rPr>
          <w:rFonts w:ascii="Times New Roman" w:hAnsi="Times New Roman" w:cs="Times New Roman"/>
          <w:sz w:val="24"/>
          <w:szCs w:val="24"/>
        </w:rPr>
        <w:t>ma</w:t>
      </w:r>
      <w:r w:rsidRPr="00C338C1">
        <w:rPr>
          <w:rFonts w:ascii="Times New Roman" w:hAnsi="Times New Roman" w:cs="Times New Roman"/>
          <w:sz w:val="24"/>
          <w:szCs w:val="24"/>
        </w:rPr>
        <w:t xml:space="preserve"> </w:t>
      </w:r>
      <w:r w:rsidR="004932D8">
        <w:rPr>
          <w:rFonts w:ascii="Times New Roman" w:hAnsi="Times New Roman" w:cs="Times New Roman"/>
          <w:sz w:val="24"/>
          <w:szCs w:val="24"/>
        </w:rPr>
        <w:t xml:space="preserve">za svaki posebni cilj, a sve </w:t>
      </w:r>
      <w:r w:rsidRPr="00C338C1">
        <w:rPr>
          <w:rFonts w:ascii="Times New Roman" w:hAnsi="Times New Roman" w:cs="Times New Roman"/>
          <w:sz w:val="24"/>
          <w:szCs w:val="24"/>
        </w:rPr>
        <w:t>u funkciji ostvarenja strateških ciljeva</w:t>
      </w:r>
      <w:r w:rsidR="000451BC">
        <w:rPr>
          <w:rFonts w:ascii="Times New Roman" w:hAnsi="Times New Roman" w:cs="Times New Roman"/>
          <w:sz w:val="24"/>
          <w:szCs w:val="24"/>
        </w:rPr>
        <w:t xml:space="preserve">. </w:t>
      </w:r>
      <w:r w:rsidR="000451BC" w:rsidRPr="00C338C1">
        <w:rPr>
          <w:rFonts w:ascii="Times New Roman" w:hAnsi="Times New Roman" w:cs="Times New Roman"/>
          <w:sz w:val="24"/>
          <w:szCs w:val="24"/>
        </w:rPr>
        <w:t xml:space="preserve">U svrhu </w:t>
      </w:r>
      <w:r w:rsidR="0068700A">
        <w:rPr>
          <w:rFonts w:ascii="Times New Roman" w:hAnsi="Times New Roman" w:cs="Times New Roman"/>
          <w:sz w:val="24"/>
          <w:szCs w:val="24"/>
        </w:rPr>
        <w:t xml:space="preserve">učinkovite i kvalitetne </w:t>
      </w:r>
      <w:r w:rsidR="000451BC" w:rsidRPr="00C338C1">
        <w:rPr>
          <w:rFonts w:ascii="Times New Roman" w:hAnsi="Times New Roman" w:cs="Times New Roman"/>
          <w:sz w:val="24"/>
          <w:szCs w:val="24"/>
        </w:rPr>
        <w:t xml:space="preserve"> provedbe Strateškog plana formiran</w:t>
      </w:r>
      <w:r w:rsidR="000451BC">
        <w:rPr>
          <w:rFonts w:ascii="Times New Roman" w:hAnsi="Times New Roman" w:cs="Times New Roman"/>
          <w:sz w:val="24"/>
          <w:szCs w:val="24"/>
        </w:rPr>
        <w:t xml:space="preserve"> je interni obrazac u kojem su za svaki posebni </w:t>
      </w:r>
      <w:r w:rsidR="0068700A">
        <w:rPr>
          <w:rFonts w:ascii="Times New Roman" w:hAnsi="Times New Roman" w:cs="Times New Roman"/>
          <w:sz w:val="24"/>
          <w:szCs w:val="24"/>
        </w:rPr>
        <w:t>c</w:t>
      </w:r>
      <w:r w:rsidR="000451BC">
        <w:rPr>
          <w:rFonts w:ascii="Times New Roman" w:hAnsi="Times New Roman" w:cs="Times New Roman"/>
          <w:sz w:val="24"/>
          <w:szCs w:val="24"/>
        </w:rPr>
        <w:t xml:space="preserve">ilj definirane planirane operativne aktivnosti, </w:t>
      </w:r>
      <w:r w:rsidRPr="00C338C1">
        <w:rPr>
          <w:rFonts w:ascii="Times New Roman" w:hAnsi="Times New Roman" w:cs="Times New Roman"/>
          <w:sz w:val="24"/>
          <w:szCs w:val="24"/>
        </w:rPr>
        <w:t>odgovorn</w:t>
      </w:r>
      <w:r w:rsidR="000451BC">
        <w:rPr>
          <w:rFonts w:ascii="Times New Roman" w:hAnsi="Times New Roman" w:cs="Times New Roman"/>
          <w:sz w:val="24"/>
          <w:szCs w:val="24"/>
        </w:rPr>
        <w:t>e</w:t>
      </w:r>
      <w:r w:rsidRPr="00C338C1">
        <w:rPr>
          <w:rFonts w:ascii="Times New Roman" w:hAnsi="Times New Roman" w:cs="Times New Roman"/>
          <w:sz w:val="24"/>
          <w:szCs w:val="24"/>
        </w:rPr>
        <w:t xml:space="preserve"> osob</w:t>
      </w:r>
      <w:r w:rsidR="000451BC">
        <w:rPr>
          <w:rFonts w:ascii="Times New Roman" w:hAnsi="Times New Roman" w:cs="Times New Roman"/>
          <w:sz w:val="24"/>
          <w:szCs w:val="24"/>
        </w:rPr>
        <w:t>e</w:t>
      </w:r>
      <w:r w:rsidRPr="00C338C1">
        <w:rPr>
          <w:rFonts w:ascii="Times New Roman" w:hAnsi="Times New Roman" w:cs="Times New Roman"/>
          <w:sz w:val="24"/>
          <w:szCs w:val="24"/>
        </w:rPr>
        <w:t xml:space="preserve"> za provedbu planiranih aktivnosti, pokazatelj</w:t>
      </w:r>
      <w:r w:rsidR="000451BC">
        <w:rPr>
          <w:rFonts w:ascii="Times New Roman" w:hAnsi="Times New Roman" w:cs="Times New Roman"/>
          <w:sz w:val="24"/>
          <w:szCs w:val="24"/>
        </w:rPr>
        <w:t>i</w:t>
      </w:r>
      <w:r w:rsidRPr="00C338C1">
        <w:rPr>
          <w:rFonts w:ascii="Times New Roman" w:hAnsi="Times New Roman" w:cs="Times New Roman"/>
          <w:sz w:val="24"/>
          <w:szCs w:val="24"/>
        </w:rPr>
        <w:t xml:space="preserve"> </w:t>
      </w:r>
      <w:r>
        <w:rPr>
          <w:rFonts w:ascii="Times New Roman" w:hAnsi="Times New Roman" w:cs="Times New Roman"/>
          <w:sz w:val="24"/>
          <w:szCs w:val="24"/>
        </w:rPr>
        <w:t>realizacije</w:t>
      </w:r>
      <w:r w:rsidRPr="00C338C1">
        <w:rPr>
          <w:rFonts w:ascii="Times New Roman" w:hAnsi="Times New Roman" w:cs="Times New Roman"/>
          <w:sz w:val="24"/>
          <w:szCs w:val="24"/>
        </w:rPr>
        <w:t xml:space="preserve"> aktivnosti i vremensk</w:t>
      </w:r>
      <w:r w:rsidR="000451BC">
        <w:rPr>
          <w:rFonts w:ascii="Times New Roman" w:hAnsi="Times New Roman" w:cs="Times New Roman"/>
          <w:sz w:val="24"/>
          <w:szCs w:val="24"/>
        </w:rPr>
        <w:t>i</w:t>
      </w:r>
      <w:r w:rsidRPr="00C338C1">
        <w:rPr>
          <w:rFonts w:ascii="Times New Roman" w:hAnsi="Times New Roman" w:cs="Times New Roman"/>
          <w:sz w:val="24"/>
          <w:szCs w:val="24"/>
        </w:rPr>
        <w:t xml:space="preserve"> rok realizacije pokazatelja. </w:t>
      </w:r>
      <w:r w:rsidR="000451BC" w:rsidRPr="00C338C1">
        <w:rPr>
          <w:rFonts w:ascii="Times New Roman" w:hAnsi="Times New Roman" w:cs="Times New Roman"/>
          <w:sz w:val="24"/>
          <w:szCs w:val="24"/>
        </w:rPr>
        <w:t xml:space="preserve">Pokazatelji rezultata definirani su na način da su jasni i mjerljivi. Definiranjem ciljanih pokazatelja olakšava se kasniji sustav praćenja koji se u osnovi temelji na izvještavanju o tome jesu li realizirane ciljane veličine. </w:t>
      </w:r>
      <w:r w:rsidRPr="00C338C1">
        <w:rPr>
          <w:rFonts w:ascii="Times New Roman" w:hAnsi="Times New Roman" w:cs="Times New Roman"/>
          <w:sz w:val="24"/>
          <w:szCs w:val="24"/>
        </w:rPr>
        <w:t>Proces provedbe aktivnosti radi dostizanja posebnih, a time i strateških ciljeva, kontinuirani je proces upravljanja zadanim aktivnostima od strane odgovornih osoba kako bi se osigurala provedba Strateškog plana.</w:t>
      </w:r>
      <w:r w:rsidR="000451BC">
        <w:rPr>
          <w:rFonts w:ascii="Times New Roman" w:hAnsi="Times New Roman" w:cs="Times New Roman"/>
          <w:sz w:val="24"/>
          <w:szCs w:val="24"/>
        </w:rPr>
        <w:t xml:space="preserve"> </w:t>
      </w:r>
    </w:p>
    <w:p w14:paraId="3F1793A0" w14:textId="77777777" w:rsidR="004932D8" w:rsidRDefault="004932D8" w:rsidP="000451BC">
      <w:pPr>
        <w:spacing w:line="276" w:lineRule="auto"/>
        <w:jc w:val="both"/>
        <w:rPr>
          <w:rFonts w:ascii="Times New Roman" w:hAnsi="Times New Roman" w:cs="Times New Roman"/>
          <w:sz w:val="24"/>
          <w:szCs w:val="24"/>
        </w:rPr>
      </w:pPr>
    </w:p>
    <w:p w14:paraId="0C24B075" w14:textId="2CEB5B96" w:rsidR="004932D8" w:rsidRPr="004932D8" w:rsidRDefault="009B3684" w:rsidP="004932D8">
      <w:pPr>
        <w:pStyle w:val="Naslov1"/>
      </w:pPr>
      <w:bookmarkStart w:id="9" w:name="_Toc149821415"/>
      <w:r>
        <w:t>9</w:t>
      </w:r>
      <w:r w:rsidR="004932D8" w:rsidRPr="004932D8">
        <w:t>. PRAĆENJE, EVALUACIJA I IZVJEŠTAVANJE O STRATEŠKOM PLANU  2023.-2026.g.</w:t>
      </w:r>
      <w:bookmarkEnd w:id="9"/>
      <w:r w:rsidR="004932D8" w:rsidRPr="004932D8">
        <w:tab/>
      </w:r>
    </w:p>
    <w:p w14:paraId="0C7BE5ED" w14:textId="77777777" w:rsidR="000451BC" w:rsidRDefault="000451BC" w:rsidP="000451BC">
      <w:pPr>
        <w:spacing w:line="276" w:lineRule="auto"/>
        <w:jc w:val="both"/>
        <w:rPr>
          <w:rFonts w:ascii="Times New Roman" w:hAnsi="Times New Roman" w:cs="Times New Roman"/>
          <w:sz w:val="24"/>
          <w:szCs w:val="24"/>
        </w:rPr>
      </w:pPr>
    </w:p>
    <w:p w14:paraId="566178F7" w14:textId="2648EAF6" w:rsidR="004932D8" w:rsidRPr="00A31DA0" w:rsidRDefault="004932D8" w:rsidP="004932D8">
      <w:pPr>
        <w:spacing w:line="276" w:lineRule="auto"/>
        <w:jc w:val="both"/>
        <w:rPr>
          <w:rFonts w:ascii="Times New Roman" w:hAnsi="Times New Roman" w:cs="Times New Roman"/>
          <w:sz w:val="24"/>
          <w:szCs w:val="24"/>
        </w:rPr>
      </w:pPr>
      <w:r w:rsidRPr="00A31DA0">
        <w:rPr>
          <w:rFonts w:ascii="Times New Roman" w:hAnsi="Times New Roman" w:cs="Times New Roman"/>
          <w:sz w:val="24"/>
          <w:szCs w:val="24"/>
        </w:rPr>
        <w:t>Za uspješnu provedbu Strateškog plana uspostavljen je</w:t>
      </w:r>
      <w:r>
        <w:rPr>
          <w:rFonts w:ascii="Times New Roman" w:hAnsi="Times New Roman" w:cs="Times New Roman"/>
          <w:sz w:val="24"/>
          <w:szCs w:val="24"/>
        </w:rPr>
        <w:t xml:space="preserve"> interni</w:t>
      </w:r>
      <w:r w:rsidRPr="00A31DA0">
        <w:rPr>
          <w:rFonts w:ascii="Times New Roman" w:hAnsi="Times New Roman" w:cs="Times New Roman"/>
          <w:sz w:val="24"/>
          <w:szCs w:val="24"/>
        </w:rPr>
        <w:t xml:space="preserve"> obrazac kojim će se pratiti i evaluirati ostvarenje općih i posebnih ciljeva Društva i provedba Strateškog plana za razdoblje 2023.-2026. Praćenjem i evaluacijom Strateškog plana prati se provedba planiranih aktivnosti kroz realizaciju pokazatelja rezultata, odnosno realizaciju ciljenih vrijednosti, te izvršenje istih u planiranom roku. S obzirom na definirane pokazatelje rezultata za planirane aktivnosti, moći će se utvrditi u kojem smjeru se realiziraju ciljane veličine. Provedba planiranih aktivnosti u funkciji je ostvarenja posebnih i općih ciljeva utvrđenih Strateškim planom Društva. Kontinuiranim praćenjem provedbe Strateškog plana odgovorne osobe mogu utvrditi ostvaruju li se planirane aktivnosti željenom dinamikom te pravovremeno uočiti odstupanja od ciljanih vrijednosti i </w:t>
      </w:r>
      <w:r>
        <w:rPr>
          <w:rFonts w:ascii="Times New Roman" w:hAnsi="Times New Roman" w:cs="Times New Roman"/>
          <w:sz w:val="24"/>
          <w:szCs w:val="24"/>
        </w:rPr>
        <w:t xml:space="preserve">temeljem toga </w:t>
      </w:r>
      <w:r w:rsidRPr="00A31DA0">
        <w:rPr>
          <w:rFonts w:ascii="Times New Roman" w:hAnsi="Times New Roman" w:cs="Times New Roman"/>
          <w:sz w:val="24"/>
          <w:szCs w:val="24"/>
        </w:rPr>
        <w:t>procijeniti učinke na dostizanje postavljenih općih i posebnih ciljeva Društva. Praćenje i evaluacija Stateškog plana Društva daje polazište za procjenu i ocjenu učinkovitosti u provedbi Stateškog plana, a o čemu će se izvještavati</w:t>
      </w:r>
      <w:r>
        <w:rPr>
          <w:rFonts w:ascii="Times New Roman" w:hAnsi="Times New Roman" w:cs="Times New Roman"/>
          <w:sz w:val="24"/>
          <w:szCs w:val="24"/>
        </w:rPr>
        <w:t xml:space="preserve"> </w:t>
      </w:r>
      <w:r w:rsidRPr="00A31DA0">
        <w:rPr>
          <w:rFonts w:ascii="Times New Roman" w:hAnsi="Times New Roman" w:cs="Times New Roman"/>
          <w:sz w:val="24"/>
          <w:szCs w:val="24"/>
        </w:rPr>
        <w:t xml:space="preserve">na godišnjoj razini. </w:t>
      </w:r>
    </w:p>
    <w:p w14:paraId="27FAAA3C" w14:textId="77777777" w:rsidR="004932D8" w:rsidRDefault="004932D8" w:rsidP="000451BC">
      <w:pPr>
        <w:spacing w:line="276" w:lineRule="auto"/>
        <w:jc w:val="both"/>
        <w:rPr>
          <w:rFonts w:ascii="Times New Roman" w:hAnsi="Times New Roman" w:cs="Times New Roman"/>
          <w:sz w:val="24"/>
          <w:szCs w:val="24"/>
        </w:rPr>
      </w:pPr>
    </w:p>
    <w:p w14:paraId="471F7EEF" w14:textId="77777777" w:rsidR="000451BC" w:rsidRDefault="000451BC" w:rsidP="000451BC">
      <w:pPr>
        <w:spacing w:line="276" w:lineRule="auto"/>
        <w:jc w:val="both"/>
        <w:rPr>
          <w:rFonts w:ascii="Times New Roman" w:hAnsi="Times New Roman" w:cs="Times New Roman"/>
          <w:sz w:val="24"/>
          <w:szCs w:val="24"/>
        </w:rPr>
      </w:pPr>
    </w:p>
    <w:p w14:paraId="5413C997" w14:textId="77777777" w:rsidR="00EF1CE6" w:rsidRDefault="00EF1CE6" w:rsidP="00BE24BB">
      <w:pPr>
        <w:rPr>
          <w:rFonts w:ascii="Times New Roman" w:hAnsi="Times New Roman" w:cs="Times New Roman"/>
          <w:i/>
          <w:iCs/>
          <w:sz w:val="24"/>
          <w:szCs w:val="24"/>
        </w:rPr>
      </w:pPr>
    </w:p>
    <w:p w14:paraId="59EE68BB" w14:textId="2B345CC4" w:rsidR="007774EE" w:rsidRDefault="007774EE" w:rsidP="007774EE">
      <w:pPr>
        <w:tabs>
          <w:tab w:val="left" w:pos="11085"/>
        </w:tabs>
        <w:spacing w:after="0" w:line="276" w:lineRule="auto"/>
        <w:jc w:val="center"/>
        <w:rPr>
          <w:rFonts w:ascii="Times New Roman" w:hAnsi="Times New Roman" w:cs="Times New Roman"/>
          <w:sz w:val="28"/>
          <w:szCs w:val="28"/>
        </w:rPr>
      </w:pPr>
      <w:r>
        <w:rPr>
          <w:rFonts w:ascii="Times New Roman" w:hAnsi="Times New Roman" w:cs="Times New Roman"/>
          <w:sz w:val="24"/>
          <w:szCs w:val="24"/>
        </w:rPr>
        <w:t xml:space="preserve">                                                                                                   </w:t>
      </w:r>
      <w:r w:rsidR="00EF1CE6" w:rsidRPr="007C497A">
        <w:rPr>
          <w:rFonts w:ascii="Times New Roman" w:hAnsi="Times New Roman" w:cs="Times New Roman"/>
          <w:sz w:val="28"/>
          <w:szCs w:val="28"/>
        </w:rPr>
        <w:t>GKP ČAKOM d.o.o.</w:t>
      </w:r>
    </w:p>
    <w:p w14:paraId="257D162D" w14:textId="5C254D13" w:rsidR="007774EE" w:rsidRDefault="007774EE" w:rsidP="007774EE">
      <w:pPr>
        <w:tabs>
          <w:tab w:val="left" w:pos="11085"/>
        </w:tabs>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B3684">
        <w:rPr>
          <w:rFonts w:ascii="Times New Roman" w:hAnsi="Times New Roman" w:cs="Times New Roman"/>
          <w:sz w:val="28"/>
          <w:szCs w:val="28"/>
        </w:rPr>
        <w:t xml:space="preserve"> </w:t>
      </w:r>
      <w:r>
        <w:rPr>
          <w:rFonts w:ascii="Times New Roman" w:hAnsi="Times New Roman" w:cs="Times New Roman"/>
          <w:sz w:val="28"/>
          <w:szCs w:val="28"/>
        </w:rPr>
        <w:t xml:space="preserve"> </w:t>
      </w:r>
      <w:r w:rsidR="00EF1CE6" w:rsidRPr="007C497A">
        <w:rPr>
          <w:rFonts w:ascii="Times New Roman" w:hAnsi="Times New Roman" w:cs="Times New Roman"/>
          <w:sz w:val="28"/>
          <w:szCs w:val="28"/>
        </w:rPr>
        <w:t>Direktor</w:t>
      </w:r>
    </w:p>
    <w:p w14:paraId="71AD7948" w14:textId="1B71293C" w:rsidR="007C497A" w:rsidRDefault="007774EE" w:rsidP="007774EE">
      <w:pPr>
        <w:tabs>
          <w:tab w:val="left" w:pos="11085"/>
        </w:tabs>
        <w:spacing w:after="0" w:line="276" w:lineRule="auto"/>
        <w:jc w:val="right"/>
        <w:rPr>
          <w:rFonts w:ascii="Times New Roman" w:hAnsi="Times New Roman" w:cs="Times New Roman"/>
          <w:sz w:val="24"/>
          <w:szCs w:val="24"/>
        </w:rPr>
      </w:pPr>
      <w:r>
        <w:rPr>
          <w:rFonts w:ascii="Times New Roman" w:hAnsi="Times New Roman" w:cs="Times New Roman"/>
          <w:sz w:val="28"/>
          <w:szCs w:val="28"/>
        </w:rPr>
        <w:t xml:space="preserve">  </w:t>
      </w:r>
      <w:r w:rsidR="009B3684">
        <w:rPr>
          <w:rFonts w:ascii="Times New Roman" w:hAnsi="Times New Roman" w:cs="Times New Roman"/>
          <w:sz w:val="28"/>
          <w:szCs w:val="28"/>
        </w:rPr>
        <w:t xml:space="preserve">    </w:t>
      </w:r>
      <w:r>
        <w:rPr>
          <w:rFonts w:ascii="Times New Roman" w:hAnsi="Times New Roman" w:cs="Times New Roman"/>
          <w:sz w:val="28"/>
          <w:szCs w:val="28"/>
        </w:rPr>
        <w:t xml:space="preserve">  </w:t>
      </w:r>
      <w:r w:rsidR="00EF1CE6" w:rsidRPr="007C497A">
        <w:rPr>
          <w:rFonts w:ascii="Times New Roman" w:hAnsi="Times New Roman" w:cs="Times New Roman"/>
          <w:sz w:val="28"/>
          <w:szCs w:val="28"/>
        </w:rPr>
        <w:t>Ivan Perhoč, bacc.ing.el.</w:t>
      </w:r>
    </w:p>
    <w:sectPr w:rsidR="007C497A" w:rsidSect="00813A12">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FF27" w14:textId="77777777" w:rsidR="008A4D6F" w:rsidRDefault="008A4D6F" w:rsidP="00E74FDF">
      <w:pPr>
        <w:spacing w:after="0" w:line="240" w:lineRule="auto"/>
      </w:pPr>
      <w:r>
        <w:separator/>
      </w:r>
    </w:p>
  </w:endnote>
  <w:endnote w:type="continuationSeparator" w:id="0">
    <w:p w14:paraId="01FC43DB" w14:textId="77777777" w:rsidR="008A4D6F" w:rsidRDefault="008A4D6F" w:rsidP="00E7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56688"/>
      <w:docPartObj>
        <w:docPartGallery w:val="Page Numbers (Bottom of Page)"/>
        <w:docPartUnique/>
      </w:docPartObj>
    </w:sdtPr>
    <w:sdtContent>
      <w:p w14:paraId="6FE2FFD5" w14:textId="776A4E76" w:rsidR="00074C28" w:rsidRDefault="00074C28">
        <w:pPr>
          <w:pStyle w:val="Podnoje"/>
          <w:jc w:val="right"/>
        </w:pPr>
        <w:r>
          <w:fldChar w:fldCharType="begin"/>
        </w:r>
        <w:r>
          <w:instrText>PAGE   \* MERGEFORMAT</w:instrText>
        </w:r>
        <w:r>
          <w:fldChar w:fldCharType="separate"/>
        </w:r>
        <w:r>
          <w:t>2</w:t>
        </w:r>
        <w:r>
          <w:fldChar w:fldCharType="end"/>
        </w:r>
      </w:p>
    </w:sdtContent>
  </w:sdt>
  <w:p w14:paraId="77A535E3" w14:textId="77777777" w:rsidR="00074C28" w:rsidRDefault="00074C2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3C21" w14:textId="676B586E" w:rsidR="00074C28" w:rsidRDefault="00074C28">
    <w:pPr>
      <w:pStyle w:val="Podnoje"/>
      <w:jc w:val="right"/>
    </w:pPr>
  </w:p>
  <w:p w14:paraId="1065647B" w14:textId="77777777" w:rsidR="00B50E5C" w:rsidRDefault="00B50E5C" w:rsidP="00E36E52">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5FF8" w14:textId="77777777" w:rsidR="008A4D6F" w:rsidRDefault="008A4D6F" w:rsidP="00E74FDF">
      <w:pPr>
        <w:spacing w:after="0" w:line="240" w:lineRule="auto"/>
      </w:pPr>
      <w:r>
        <w:separator/>
      </w:r>
    </w:p>
  </w:footnote>
  <w:footnote w:type="continuationSeparator" w:id="0">
    <w:p w14:paraId="717BE096" w14:textId="77777777" w:rsidR="008A4D6F" w:rsidRDefault="008A4D6F" w:rsidP="00E74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8A43" w14:textId="5A40E0F8" w:rsidR="0028068B" w:rsidRDefault="0028068B">
    <w:pPr>
      <w:pStyle w:val="Zaglavlje"/>
      <w:jc w:val="right"/>
    </w:pPr>
  </w:p>
  <w:p w14:paraId="02E88178" w14:textId="77777777" w:rsidR="0028068B" w:rsidRDefault="0028068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04DA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62B6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80CF3"/>
    <w:multiLevelType w:val="multilevel"/>
    <w:tmpl w:val="099AD5D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17EB2"/>
    <w:multiLevelType w:val="hybridMultilevel"/>
    <w:tmpl w:val="9202D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432C0"/>
    <w:multiLevelType w:val="multilevel"/>
    <w:tmpl w:val="431CD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A818BF"/>
    <w:multiLevelType w:val="multilevel"/>
    <w:tmpl w:val="291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76988"/>
    <w:multiLevelType w:val="hybridMultilevel"/>
    <w:tmpl w:val="1B5CF2E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2F1997"/>
    <w:multiLevelType w:val="hybridMultilevel"/>
    <w:tmpl w:val="ACA01180"/>
    <w:lvl w:ilvl="0" w:tplc="4252C98C">
      <w:start w:val="1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A4000F"/>
    <w:multiLevelType w:val="multilevel"/>
    <w:tmpl w:val="EACA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323F0"/>
    <w:multiLevelType w:val="multilevel"/>
    <w:tmpl w:val="D27C65E6"/>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ACE7FBB"/>
    <w:multiLevelType w:val="multilevel"/>
    <w:tmpl w:val="DC8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146C5"/>
    <w:multiLevelType w:val="multilevel"/>
    <w:tmpl w:val="84344CC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747ACF"/>
    <w:multiLevelType w:val="hybridMultilevel"/>
    <w:tmpl w:val="9C1C6974"/>
    <w:lvl w:ilvl="0" w:tplc="1E7A9F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967CAD"/>
    <w:multiLevelType w:val="hybridMultilevel"/>
    <w:tmpl w:val="B6321E14"/>
    <w:lvl w:ilvl="0" w:tplc="703E60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715007"/>
    <w:multiLevelType w:val="multilevel"/>
    <w:tmpl w:val="E6C01B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3D571C"/>
    <w:multiLevelType w:val="hybridMultilevel"/>
    <w:tmpl w:val="B044C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0D1200"/>
    <w:multiLevelType w:val="hybridMultilevel"/>
    <w:tmpl w:val="F7287864"/>
    <w:lvl w:ilvl="0" w:tplc="74D0AAB8">
      <w:start w:val="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A98321D"/>
    <w:multiLevelType w:val="hybridMultilevel"/>
    <w:tmpl w:val="727A2F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E3B10"/>
    <w:multiLevelType w:val="hybridMultilevel"/>
    <w:tmpl w:val="82A2FD76"/>
    <w:lvl w:ilvl="0" w:tplc="9432A83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31FC59F7"/>
    <w:multiLevelType w:val="hybridMultilevel"/>
    <w:tmpl w:val="A28EB78E"/>
    <w:lvl w:ilvl="0" w:tplc="B9FC8A00">
      <w:start w:val="116"/>
      <w:numFmt w:val="bullet"/>
      <w:lvlText w:val="-"/>
      <w:lvlJc w:val="left"/>
      <w:pPr>
        <w:ind w:left="2700" w:hanging="360"/>
      </w:pPr>
      <w:rPr>
        <w:rFonts w:ascii="Times New Roman" w:eastAsiaTheme="minorHAnsi" w:hAnsi="Times New Roman" w:cs="Times New Roman"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0" w15:restartNumberingAfterBreak="0">
    <w:nsid w:val="323F584A"/>
    <w:multiLevelType w:val="hybridMultilevel"/>
    <w:tmpl w:val="A2C257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332A177E"/>
    <w:multiLevelType w:val="multilevel"/>
    <w:tmpl w:val="ED6E2716"/>
    <w:lvl w:ilvl="0">
      <w:start w:val="1"/>
      <w:numFmt w:val="decimal"/>
      <w:lvlText w:val="%1."/>
      <w:lvlJc w:val="left"/>
      <w:pPr>
        <w:ind w:left="360" w:hanging="360"/>
      </w:pPr>
      <w:rPr>
        <w:rFonts w:hint="default"/>
        <w:i w:val="0"/>
      </w:rPr>
    </w:lvl>
    <w:lvl w:ilvl="1">
      <w:start w:val="1"/>
      <w:numFmt w:val="decimal"/>
      <w:lvlText w:val="%1.%2."/>
      <w:lvlJc w:val="left"/>
      <w:pPr>
        <w:ind w:left="644"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2" w15:restartNumberingAfterBreak="0">
    <w:nsid w:val="3AAB65BB"/>
    <w:multiLevelType w:val="hybridMultilevel"/>
    <w:tmpl w:val="1B5CF2E8"/>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514132"/>
    <w:multiLevelType w:val="hybridMultilevel"/>
    <w:tmpl w:val="1B5CF2E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B130BC"/>
    <w:multiLevelType w:val="hybridMultilevel"/>
    <w:tmpl w:val="87400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81C86"/>
    <w:multiLevelType w:val="multilevel"/>
    <w:tmpl w:val="270EB4E0"/>
    <w:lvl w:ilvl="0">
      <w:start w:val="1"/>
      <w:numFmt w:val="decimal"/>
      <w:lvlText w:val="%1."/>
      <w:lvlJc w:val="left"/>
      <w:pPr>
        <w:ind w:left="360" w:hanging="360"/>
      </w:pPr>
      <w:rPr>
        <w:rFonts w:hint="default"/>
      </w:rPr>
    </w:lvl>
    <w:lvl w:ilvl="1">
      <w:start w:val="1"/>
      <w:numFmt w:val="decimal"/>
      <w:pStyle w:val="Naslov2"/>
      <w:isLgl/>
      <w:lvlText w:val="%1.%2."/>
      <w:lvlJc w:val="left"/>
      <w:pPr>
        <w:ind w:left="945" w:hanging="585"/>
      </w:pPr>
      <w:rPr>
        <w:rFonts w:hint="default"/>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6829B9"/>
    <w:multiLevelType w:val="hybridMultilevel"/>
    <w:tmpl w:val="99E462DC"/>
    <w:lvl w:ilvl="0" w:tplc="10DC3DBA">
      <w:start w:val="18"/>
      <w:numFmt w:val="bullet"/>
      <w:lvlText w:val="-"/>
      <w:lvlJc w:val="left"/>
      <w:pPr>
        <w:ind w:left="1068" w:hanging="360"/>
      </w:pPr>
      <w:rPr>
        <w:rFonts w:ascii="Calibri" w:eastAsia="Times New Roman" w:hAnsi="Calibri"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4FBD45D3"/>
    <w:multiLevelType w:val="multilevel"/>
    <w:tmpl w:val="E5BE3F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E32A94"/>
    <w:multiLevelType w:val="hybridMultilevel"/>
    <w:tmpl w:val="639E0CE4"/>
    <w:lvl w:ilvl="0" w:tplc="3DF8BD7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0771F"/>
    <w:multiLevelType w:val="multilevel"/>
    <w:tmpl w:val="80B41134"/>
    <w:lvl w:ilvl="0">
      <w:start w:val="1"/>
      <w:numFmt w:val="decimalZero"/>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EA51B40"/>
    <w:multiLevelType w:val="hybridMultilevel"/>
    <w:tmpl w:val="0BAAE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F73298"/>
    <w:multiLevelType w:val="multilevel"/>
    <w:tmpl w:val="3906F05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F90C08"/>
    <w:multiLevelType w:val="multilevel"/>
    <w:tmpl w:val="BB6496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7A2D1F"/>
    <w:multiLevelType w:val="hybridMultilevel"/>
    <w:tmpl w:val="230841C2"/>
    <w:lvl w:ilvl="0" w:tplc="645CB1D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60754B0"/>
    <w:multiLevelType w:val="hybridMultilevel"/>
    <w:tmpl w:val="91D054A8"/>
    <w:lvl w:ilvl="0" w:tplc="878A2854">
      <w:numFmt w:val="bullet"/>
      <w:lvlText w:val="-"/>
      <w:lvlJc w:val="left"/>
      <w:pPr>
        <w:ind w:left="3196" w:hanging="360"/>
      </w:pPr>
      <w:rPr>
        <w:rFonts w:ascii="Times New Roman" w:eastAsia="Calibri" w:hAnsi="Times New Roman" w:cs="Times New Roman"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35" w15:restartNumberingAfterBreak="0">
    <w:nsid w:val="6A731EF0"/>
    <w:multiLevelType w:val="hybridMultilevel"/>
    <w:tmpl w:val="09928C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E53D30"/>
    <w:multiLevelType w:val="hybridMultilevel"/>
    <w:tmpl w:val="BAAE38B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020A6D"/>
    <w:multiLevelType w:val="multilevel"/>
    <w:tmpl w:val="6C2C612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455692"/>
    <w:multiLevelType w:val="hybridMultilevel"/>
    <w:tmpl w:val="1B5CF2E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7308E6"/>
    <w:multiLevelType w:val="hybridMultilevel"/>
    <w:tmpl w:val="02A618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D2846CB"/>
    <w:multiLevelType w:val="multilevel"/>
    <w:tmpl w:val="350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783E33"/>
    <w:multiLevelType w:val="hybridMultilevel"/>
    <w:tmpl w:val="DE3C1CA6"/>
    <w:lvl w:ilvl="0" w:tplc="2D4C201A">
      <w:start w:val="1"/>
      <w:numFmt w:val="bullet"/>
      <w:lvlText w:val="-"/>
      <w:lvlJc w:val="left"/>
      <w:pPr>
        <w:ind w:left="720" w:hanging="360"/>
      </w:pPr>
      <w:rPr>
        <w:rFonts w:ascii="Segoe UI" w:eastAsiaTheme="minorEastAsia" w:hAnsi="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8068899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110714">
    <w:abstractNumId w:val="8"/>
  </w:num>
  <w:num w:numId="3" w16cid:durableId="1920940404">
    <w:abstractNumId w:val="40"/>
  </w:num>
  <w:num w:numId="4" w16cid:durableId="1174606861">
    <w:abstractNumId w:val="26"/>
  </w:num>
  <w:num w:numId="5" w16cid:durableId="26567275">
    <w:abstractNumId w:val="13"/>
  </w:num>
  <w:num w:numId="6" w16cid:durableId="1854874562">
    <w:abstractNumId w:val="12"/>
  </w:num>
  <w:num w:numId="7" w16cid:durableId="1758601249">
    <w:abstractNumId w:val="33"/>
  </w:num>
  <w:num w:numId="8" w16cid:durableId="1058935503">
    <w:abstractNumId w:val="24"/>
  </w:num>
  <w:num w:numId="9" w16cid:durableId="1911574318">
    <w:abstractNumId w:val="32"/>
  </w:num>
  <w:num w:numId="10" w16cid:durableId="154421988">
    <w:abstractNumId w:val="3"/>
  </w:num>
  <w:num w:numId="11" w16cid:durableId="504980131">
    <w:abstractNumId w:val="9"/>
  </w:num>
  <w:num w:numId="12" w16cid:durableId="714738473">
    <w:abstractNumId w:val="39"/>
  </w:num>
  <w:num w:numId="13" w16cid:durableId="1565215703">
    <w:abstractNumId w:val="16"/>
  </w:num>
  <w:num w:numId="14" w16cid:durableId="1816138367">
    <w:abstractNumId w:val="1"/>
  </w:num>
  <w:num w:numId="15" w16cid:durableId="1102606572">
    <w:abstractNumId w:val="0"/>
  </w:num>
  <w:num w:numId="16" w16cid:durableId="816259890">
    <w:abstractNumId w:val="41"/>
  </w:num>
  <w:num w:numId="17" w16cid:durableId="1752578549">
    <w:abstractNumId w:val="22"/>
  </w:num>
  <w:num w:numId="18" w16cid:durableId="960383894">
    <w:abstractNumId w:val="38"/>
  </w:num>
  <w:num w:numId="19" w16cid:durableId="120343872">
    <w:abstractNumId w:val="36"/>
  </w:num>
  <w:num w:numId="20" w16cid:durableId="828523985">
    <w:abstractNumId w:val="23"/>
  </w:num>
  <w:num w:numId="21" w16cid:durableId="453905515">
    <w:abstractNumId w:val="30"/>
  </w:num>
  <w:num w:numId="22" w16cid:durableId="1549755986">
    <w:abstractNumId w:val="6"/>
  </w:num>
  <w:num w:numId="23" w16cid:durableId="710690073">
    <w:abstractNumId w:val="15"/>
  </w:num>
  <w:num w:numId="24" w16cid:durableId="2093425980">
    <w:abstractNumId w:val="21"/>
  </w:num>
  <w:num w:numId="25" w16cid:durableId="1615207328">
    <w:abstractNumId w:val="27"/>
  </w:num>
  <w:num w:numId="26" w16cid:durableId="239949653">
    <w:abstractNumId w:val="14"/>
  </w:num>
  <w:num w:numId="27" w16cid:durableId="640114678">
    <w:abstractNumId w:val="4"/>
  </w:num>
  <w:num w:numId="28" w16cid:durableId="1744064795">
    <w:abstractNumId w:val="10"/>
  </w:num>
  <w:num w:numId="29" w16cid:durableId="1375304546">
    <w:abstractNumId w:val="5"/>
  </w:num>
  <w:num w:numId="30" w16cid:durableId="56784566">
    <w:abstractNumId w:val="35"/>
  </w:num>
  <w:num w:numId="31" w16cid:durableId="1347976907">
    <w:abstractNumId w:val="31"/>
  </w:num>
  <w:num w:numId="32" w16cid:durableId="1885829058">
    <w:abstractNumId w:val="25"/>
  </w:num>
  <w:num w:numId="33" w16cid:durableId="1891570435">
    <w:abstractNumId w:val="32"/>
    <w:lvlOverride w:ilvl="0">
      <w:startOverride w:val="9"/>
    </w:lvlOverride>
    <w:lvlOverride w:ilvl="1">
      <w:startOverride w:val="1"/>
    </w:lvlOverride>
  </w:num>
  <w:num w:numId="34" w16cid:durableId="1683436957">
    <w:abstractNumId w:val="32"/>
    <w:lvlOverride w:ilvl="0">
      <w:startOverride w:val="9"/>
    </w:lvlOverride>
    <w:lvlOverride w:ilvl="1">
      <w:startOverride w:val="1"/>
    </w:lvlOverride>
  </w:num>
  <w:num w:numId="35" w16cid:durableId="1358702945">
    <w:abstractNumId w:val="17"/>
  </w:num>
  <w:num w:numId="36" w16cid:durableId="1266621031">
    <w:abstractNumId w:val="7"/>
  </w:num>
  <w:num w:numId="37" w16cid:durableId="1492406179">
    <w:abstractNumId w:val="20"/>
  </w:num>
  <w:num w:numId="38" w16cid:durableId="578296271">
    <w:abstractNumId w:val="29"/>
  </w:num>
  <w:num w:numId="39" w16cid:durableId="618218214">
    <w:abstractNumId w:val="2"/>
  </w:num>
  <w:num w:numId="40" w16cid:durableId="1472209121">
    <w:abstractNumId w:val="11"/>
  </w:num>
  <w:num w:numId="41" w16cid:durableId="1443382304">
    <w:abstractNumId w:val="37"/>
  </w:num>
  <w:num w:numId="42" w16cid:durableId="1042251588">
    <w:abstractNumId w:val="28"/>
  </w:num>
  <w:num w:numId="43" w16cid:durableId="1293169729">
    <w:abstractNumId w:val="19"/>
  </w:num>
  <w:num w:numId="44" w16cid:durableId="17563903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95"/>
    <w:rsid w:val="00000263"/>
    <w:rsid w:val="00000344"/>
    <w:rsid w:val="00000D4F"/>
    <w:rsid w:val="00003184"/>
    <w:rsid w:val="00005579"/>
    <w:rsid w:val="00015962"/>
    <w:rsid w:val="00016572"/>
    <w:rsid w:val="000200A5"/>
    <w:rsid w:val="000220D4"/>
    <w:rsid w:val="0002270F"/>
    <w:rsid w:val="00022F2A"/>
    <w:rsid w:val="00024C0B"/>
    <w:rsid w:val="00026531"/>
    <w:rsid w:val="000316FE"/>
    <w:rsid w:val="00031D73"/>
    <w:rsid w:val="00033FA3"/>
    <w:rsid w:val="00034348"/>
    <w:rsid w:val="00035667"/>
    <w:rsid w:val="00040D7E"/>
    <w:rsid w:val="0004383A"/>
    <w:rsid w:val="000451BC"/>
    <w:rsid w:val="000452E9"/>
    <w:rsid w:val="00051D60"/>
    <w:rsid w:val="00053422"/>
    <w:rsid w:val="00056381"/>
    <w:rsid w:val="00056C08"/>
    <w:rsid w:val="00060FFE"/>
    <w:rsid w:val="00061336"/>
    <w:rsid w:val="0007448B"/>
    <w:rsid w:val="00074B89"/>
    <w:rsid w:val="00074C28"/>
    <w:rsid w:val="0008492E"/>
    <w:rsid w:val="00086360"/>
    <w:rsid w:val="00092142"/>
    <w:rsid w:val="000921BB"/>
    <w:rsid w:val="000927FA"/>
    <w:rsid w:val="00094C3E"/>
    <w:rsid w:val="00095683"/>
    <w:rsid w:val="00095EB2"/>
    <w:rsid w:val="000A0AA0"/>
    <w:rsid w:val="000A2EE0"/>
    <w:rsid w:val="000A37B3"/>
    <w:rsid w:val="000A38AB"/>
    <w:rsid w:val="000A3BF5"/>
    <w:rsid w:val="000B601B"/>
    <w:rsid w:val="000C037C"/>
    <w:rsid w:val="000C3A21"/>
    <w:rsid w:val="000C776B"/>
    <w:rsid w:val="000C7E7E"/>
    <w:rsid w:val="000D1145"/>
    <w:rsid w:val="000D1A39"/>
    <w:rsid w:val="000D4CC4"/>
    <w:rsid w:val="000D6787"/>
    <w:rsid w:val="000E009E"/>
    <w:rsid w:val="000E2003"/>
    <w:rsid w:val="000E3B6F"/>
    <w:rsid w:val="000E3E53"/>
    <w:rsid w:val="000E5BB2"/>
    <w:rsid w:val="000E5EF9"/>
    <w:rsid w:val="001050DA"/>
    <w:rsid w:val="00106351"/>
    <w:rsid w:val="00107362"/>
    <w:rsid w:val="001140F5"/>
    <w:rsid w:val="001213B5"/>
    <w:rsid w:val="00122AD5"/>
    <w:rsid w:val="00123575"/>
    <w:rsid w:val="00127490"/>
    <w:rsid w:val="0013175C"/>
    <w:rsid w:val="00131C0E"/>
    <w:rsid w:val="00132232"/>
    <w:rsid w:val="00132F71"/>
    <w:rsid w:val="00135DC7"/>
    <w:rsid w:val="0013707B"/>
    <w:rsid w:val="00142C13"/>
    <w:rsid w:val="0014580E"/>
    <w:rsid w:val="001502D3"/>
    <w:rsid w:val="00155D4C"/>
    <w:rsid w:val="001603B0"/>
    <w:rsid w:val="00163499"/>
    <w:rsid w:val="00163CB4"/>
    <w:rsid w:val="001732F7"/>
    <w:rsid w:val="00174440"/>
    <w:rsid w:val="001766CD"/>
    <w:rsid w:val="001817DB"/>
    <w:rsid w:val="00183E78"/>
    <w:rsid w:val="001852E1"/>
    <w:rsid w:val="00185ED2"/>
    <w:rsid w:val="001870AC"/>
    <w:rsid w:val="001908B3"/>
    <w:rsid w:val="0019365B"/>
    <w:rsid w:val="0019558A"/>
    <w:rsid w:val="001960E2"/>
    <w:rsid w:val="001A1694"/>
    <w:rsid w:val="001A2646"/>
    <w:rsid w:val="001A77C4"/>
    <w:rsid w:val="001B0BC5"/>
    <w:rsid w:val="001B1C63"/>
    <w:rsid w:val="001B33C7"/>
    <w:rsid w:val="001B652A"/>
    <w:rsid w:val="001C3130"/>
    <w:rsid w:val="001C47A2"/>
    <w:rsid w:val="001C58A3"/>
    <w:rsid w:val="001E1584"/>
    <w:rsid w:val="001E4F2D"/>
    <w:rsid w:val="001E589B"/>
    <w:rsid w:val="001F19DE"/>
    <w:rsid w:val="001F21D7"/>
    <w:rsid w:val="001F28EC"/>
    <w:rsid w:val="001F447C"/>
    <w:rsid w:val="00201472"/>
    <w:rsid w:val="00204DF8"/>
    <w:rsid w:val="0020670C"/>
    <w:rsid w:val="00212B1E"/>
    <w:rsid w:val="002164A2"/>
    <w:rsid w:val="00217C0F"/>
    <w:rsid w:val="00220D5D"/>
    <w:rsid w:val="00224F56"/>
    <w:rsid w:val="00225C48"/>
    <w:rsid w:val="00231B42"/>
    <w:rsid w:val="00231C2A"/>
    <w:rsid w:val="00232064"/>
    <w:rsid w:val="002320D4"/>
    <w:rsid w:val="00232B9F"/>
    <w:rsid w:val="00236BEE"/>
    <w:rsid w:val="002572B5"/>
    <w:rsid w:val="00261418"/>
    <w:rsid w:val="0026259E"/>
    <w:rsid w:val="00267C97"/>
    <w:rsid w:val="00271FD7"/>
    <w:rsid w:val="002753FF"/>
    <w:rsid w:val="0028068B"/>
    <w:rsid w:val="002818DD"/>
    <w:rsid w:val="00283222"/>
    <w:rsid w:val="002B064E"/>
    <w:rsid w:val="002B2B23"/>
    <w:rsid w:val="002C17B0"/>
    <w:rsid w:val="002C1D72"/>
    <w:rsid w:val="002C34D3"/>
    <w:rsid w:val="002D32A1"/>
    <w:rsid w:val="002E1BE6"/>
    <w:rsid w:val="002E4EE1"/>
    <w:rsid w:val="002E6B62"/>
    <w:rsid w:val="002E6D1D"/>
    <w:rsid w:val="002E7319"/>
    <w:rsid w:val="002F0BED"/>
    <w:rsid w:val="002F5594"/>
    <w:rsid w:val="002F7693"/>
    <w:rsid w:val="002F7EB0"/>
    <w:rsid w:val="00302065"/>
    <w:rsid w:val="00302761"/>
    <w:rsid w:val="00306AD9"/>
    <w:rsid w:val="00313B39"/>
    <w:rsid w:val="003162C8"/>
    <w:rsid w:val="0031665E"/>
    <w:rsid w:val="00316D92"/>
    <w:rsid w:val="0032120B"/>
    <w:rsid w:val="003217A7"/>
    <w:rsid w:val="00325280"/>
    <w:rsid w:val="003259BE"/>
    <w:rsid w:val="003411FA"/>
    <w:rsid w:val="003418FE"/>
    <w:rsid w:val="00346B32"/>
    <w:rsid w:val="00352DAE"/>
    <w:rsid w:val="003550BC"/>
    <w:rsid w:val="0036343C"/>
    <w:rsid w:val="00370AD1"/>
    <w:rsid w:val="00374E85"/>
    <w:rsid w:val="0037530A"/>
    <w:rsid w:val="003803CC"/>
    <w:rsid w:val="00382658"/>
    <w:rsid w:val="00383179"/>
    <w:rsid w:val="00387950"/>
    <w:rsid w:val="00390F7E"/>
    <w:rsid w:val="00393818"/>
    <w:rsid w:val="00395182"/>
    <w:rsid w:val="00395D08"/>
    <w:rsid w:val="003A0E53"/>
    <w:rsid w:val="003A199A"/>
    <w:rsid w:val="003A3979"/>
    <w:rsid w:val="003B458E"/>
    <w:rsid w:val="003B53F4"/>
    <w:rsid w:val="003B5A87"/>
    <w:rsid w:val="003C76C6"/>
    <w:rsid w:val="003D1285"/>
    <w:rsid w:val="003E00E9"/>
    <w:rsid w:val="003E5BE6"/>
    <w:rsid w:val="003F62A4"/>
    <w:rsid w:val="00402BB0"/>
    <w:rsid w:val="004107D7"/>
    <w:rsid w:val="00410F02"/>
    <w:rsid w:val="00413D19"/>
    <w:rsid w:val="004155C3"/>
    <w:rsid w:val="00420993"/>
    <w:rsid w:val="00421DEE"/>
    <w:rsid w:val="00421E66"/>
    <w:rsid w:val="00422D53"/>
    <w:rsid w:val="004246C8"/>
    <w:rsid w:val="00427032"/>
    <w:rsid w:val="004309B3"/>
    <w:rsid w:val="0043228E"/>
    <w:rsid w:val="004345E8"/>
    <w:rsid w:val="00440153"/>
    <w:rsid w:val="0044075C"/>
    <w:rsid w:val="004454B4"/>
    <w:rsid w:val="00446442"/>
    <w:rsid w:val="004503B8"/>
    <w:rsid w:val="00451054"/>
    <w:rsid w:val="00454384"/>
    <w:rsid w:val="00463E7E"/>
    <w:rsid w:val="00465C68"/>
    <w:rsid w:val="00470A9A"/>
    <w:rsid w:val="00477DFA"/>
    <w:rsid w:val="0048066E"/>
    <w:rsid w:val="004827B9"/>
    <w:rsid w:val="004932D8"/>
    <w:rsid w:val="00497DFA"/>
    <w:rsid w:val="004A1B7B"/>
    <w:rsid w:val="004A292F"/>
    <w:rsid w:val="004A3DE1"/>
    <w:rsid w:val="004C1D71"/>
    <w:rsid w:val="004C684C"/>
    <w:rsid w:val="004C78DA"/>
    <w:rsid w:val="004D0E71"/>
    <w:rsid w:val="004D1392"/>
    <w:rsid w:val="004D15AF"/>
    <w:rsid w:val="004D67A4"/>
    <w:rsid w:val="004D7489"/>
    <w:rsid w:val="004E059C"/>
    <w:rsid w:val="004E0A40"/>
    <w:rsid w:val="004E0B30"/>
    <w:rsid w:val="005025A2"/>
    <w:rsid w:val="00502E80"/>
    <w:rsid w:val="005048EC"/>
    <w:rsid w:val="00505919"/>
    <w:rsid w:val="00516072"/>
    <w:rsid w:val="00516499"/>
    <w:rsid w:val="00517DB0"/>
    <w:rsid w:val="00522735"/>
    <w:rsid w:val="00526C98"/>
    <w:rsid w:val="005308BD"/>
    <w:rsid w:val="00530B20"/>
    <w:rsid w:val="00532BDE"/>
    <w:rsid w:val="00537C14"/>
    <w:rsid w:val="005432E7"/>
    <w:rsid w:val="00545B79"/>
    <w:rsid w:val="00550AED"/>
    <w:rsid w:val="0055615F"/>
    <w:rsid w:val="00563323"/>
    <w:rsid w:val="0056593C"/>
    <w:rsid w:val="00565B7D"/>
    <w:rsid w:val="00571027"/>
    <w:rsid w:val="005718AD"/>
    <w:rsid w:val="00571B13"/>
    <w:rsid w:val="00573A25"/>
    <w:rsid w:val="005741A8"/>
    <w:rsid w:val="005812AD"/>
    <w:rsid w:val="00582D9D"/>
    <w:rsid w:val="00583BF9"/>
    <w:rsid w:val="00584EC4"/>
    <w:rsid w:val="005902F1"/>
    <w:rsid w:val="00591378"/>
    <w:rsid w:val="00593074"/>
    <w:rsid w:val="00596FAB"/>
    <w:rsid w:val="005A0544"/>
    <w:rsid w:val="005A2192"/>
    <w:rsid w:val="005A24DC"/>
    <w:rsid w:val="005A2597"/>
    <w:rsid w:val="005A29E0"/>
    <w:rsid w:val="005A3EFA"/>
    <w:rsid w:val="005A4F5E"/>
    <w:rsid w:val="005A7AD6"/>
    <w:rsid w:val="005B4C2A"/>
    <w:rsid w:val="005C43BA"/>
    <w:rsid w:val="005D1507"/>
    <w:rsid w:val="005D2F8C"/>
    <w:rsid w:val="005D32A9"/>
    <w:rsid w:val="005D3E70"/>
    <w:rsid w:val="005D50E8"/>
    <w:rsid w:val="005D6091"/>
    <w:rsid w:val="005E3225"/>
    <w:rsid w:val="005E62FB"/>
    <w:rsid w:val="005F079F"/>
    <w:rsid w:val="005F1926"/>
    <w:rsid w:val="005F4D65"/>
    <w:rsid w:val="006020DB"/>
    <w:rsid w:val="006021C4"/>
    <w:rsid w:val="00613F54"/>
    <w:rsid w:val="00621682"/>
    <w:rsid w:val="00621F50"/>
    <w:rsid w:val="006325D2"/>
    <w:rsid w:val="0063292C"/>
    <w:rsid w:val="00635201"/>
    <w:rsid w:val="00635FC4"/>
    <w:rsid w:val="0064181E"/>
    <w:rsid w:val="00641D34"/>
    <w:rsid w:val="00652AFC"/>
    <w:rsid w:val="00654622"/>
    <w:rsid w:val="00661755"/>
    <w:rsid w:val="00663BA7"/>
    <w:rsid w:val="00666B80"/>
    <w:rsid w:val="00677E74"/>
    <w:rsid w:val="006848E2"/>
    <w:rsid w:val="00685169"/>
    <w:rsid w:val="0068700A"/>
    <w:rsid w:val="0069307E"/>
    <w:rsid w:val="006972B9"/>
    <w:rsid w:val="006978B3"/>
    <w:rsid w:val="006A634D"/>
    <w:rsid w:val="006A641F"/>
    <w:rsid w:val="006A76F3"/>
    <w:rsid w:val="006B5407"/>
    <w:rsid w:val="006B78BA"/>
    <w:rsid w:val="006C1611"/>
    <w:rsid w:val="006C49FE"/>
    <w:rsid w:val="006C583E"/>
    <w:rsid w:val="006C794A"/>
    <w:rsid w:val="006C7ABA"/>
    <w:rsid w:val="006D1A6A"/>
    <w:rsid w:val="006D2CC9"/>
    <w:rsid w:val="006D60F1"/>
    <w:rsid w:val="006E38CC"/>
    <w:rsid w:val="006E698E"/>
    <w:rsid w:val="00701395"/>
    <w:rsid w:val="00701876"/>
    <w:rsid w:val="00703884"/>
    <w:rsid w:val="00704086"/>
    <w:rsid w:val="00706CF3"/>
    <w:rsid w:val="007073CE"/>
    <w:rsid w:val="0071385F"/>
    <w:rsid w:val="00713C8D"/>
    <w:rsid w:val="0071472D"/>
    <w:rsid w:val="007172EF"/>
    <w:rsid w:val="00732F59"/>
    <w:rsid w:val="007332A4"/>
    <w:rsid w:val="00735D38"/>
    <w:rsid w:val="00736324"/>
    <w:rsid w:val="007365EA"/>
    <w:rsid w:val="007427C4"/>
    <w:rsid w:val="00743365"/>
    <w:rsid w:val="007467D5"/>
    <w:rsid w:val="0075106F"/>
    <w:rsid w:val="00755ED3"/>
    <w:rsid w:val="00763370"/>
    <w:rsid w:val="007644BA"/>
    <w:rsid w:val="00764777"/>
    <w:rsid w:val="00775CD8"/>
    <w:rsid w:val="007774EE"/>
    <w:rsid w:val="00781536"/>
    <w:rsid w:val="0078456E"/>
    <w:rsid w:val="0079680B"/>
    <w:rsid w:val="00796966"/>
    <w:rsid w:val="00797369"/>
    <w:rsid w:val="007A0BD2"/>
    <w:rsid w:val="007A5A46"/>
    <w:rsid w:val="007B07D1"/>
    <w:rsid w:val="007C11F4"/>
    <w:rsid w:val="007C285A"/>
    <w:rsid w:val="007C497A"/>
    <w:rsid w:val="007C5FC2"/>
    <w:rsid w:val="007C641A"/>
    <w:rsid w:val="007D59D4"/>
    <w:rsid w:val="007D5D2D"/>
    <w:rsid w:val="007D6B2B"/>
    <w:rsid w:val="007D7355"/>
    <w:rsid w:val="007D7DD5"/>
    <w:rsid w:val="007E0376"/>
    <w:rsid w:val="007E2194"/>
    <w:rsid w:val="007E3A80"/>
    <w:rsid w:val="007F16F9"/>
    <w:rsid w:val="007F24C6"/>
    <w:rsid w:val="007F5293"/>
    <w:rsid w:val="007F55B2"/>
    <w:rsid w:val="00800765"/>
    <w:rsid w:val="00802DFE"/>
    <w:rsid w:val="00802FA8"/>
    <w:rsid w:val="00811ABA"/>
    <w:rsid w:val="0081256E"/>
    <w:rsid w:val="00813A12"/>
    <w:rsid w:val="00814905"/>
    <w:rsid w:val="0081533F"/>
    <w:rsid w:val="0081537A"/>
    <w:rsid w:val="00815C25"/>
    <w:rsid w:val="00816342"/>
    <w:rsid w:val="00820C92"/>
    <w:rsid w:val="0082293C"/>
    <w:rsid w:val="00822C9C"/>
    <w:rsid w:val="00823E6B"/>
    <w:rsid w:val="00825130"/>
    <w:rsid w:val="008343C6"/>
    <w:rsid w:val="00834850"/>
    <w:rsid w:val="00835578"/>
    <w:rsid w:val="008404D4"/>
    <w:rsid w:val="00840AE4"/>
    <w:rsid w:val="00842ADF"/>
    <w:rsid w:val="00847C41"/>
    <w:rsid w:val="00852757"/>
    <w:rsid w:val="00854587"/>
    <w:rsid w:val="008549B2"/>
    <w:rsid w:val="00855732"/>
    <w:rsid w:val="008562C6"/>
    <w:rsid w:val="008637DA"/>
    <w:rsid w:val="00863CEA"/>
    <w:rsid w:val="00872D52"/>
    <w:rsid w:val="00872FBC"/>
    <w:rsid w:val="00875D7C"/>
    <w:rsid w:val="0088168B"/>
    <w:rsid w:val="00881D5B"/>
    <w:rsid w:val="008868CF"/>
    <w:rsid w:val="00893138"/>
    <w:rsid w:val="0089501C"/>
    <w:rsid w:val="008952A5"/>
    <w:rsid w:val="00895808"/>
    <w:rsid w:val="008969A0"/>
    <w:rsid w:val="008A1AA1"/>
    <w:rsid w:val="008A3CDB"/>
    <w:rsid w:val="008A4D6F"/>
    <w:rsid w:val="008A4D94"/>
    <w:rsid w:val="008B0B8C"/>
    <w:rsid w:val="008B2292"/>
    <w:rsid w:val="008B25D7"/>
    <w:rsid w:val="008B2934"/>
    <w:rsid w:val="008B36D5"/>
    <w:rsid w:val="008C3577"/>
    <w:rsid w:val="008C3E84"/>
    <w:rsid w:val="008C6DE5"/>
    <w:rsid w:val="008D2986"/>
    <w:rsid w:val="008D390E"/>
    <w:rsid w:val="008D4171"/>
    <w:rsid w:val="008D5D92"/>
    <w:rsid w:val="008E62BB"/>
    <w:rsid w:val="008F0254"/>
    <w:rsid w:val="008F05BB"/>
    <w:rsid w:val="008F2AC2"/>
    <w:rsid w:val="008F5FD8"/>
    <w:rsid w:val="0090174C"/>
    <w:rsid w:val="009020F1"/>
    <w:rsid w:val="00904A6B"/>
    <w:rsid w:val="0090752E"/>
    <w:rsid w:val="009100D3"/>
    <w:rsid w:val="00911C6F"/>
    <w:rsid w:val="009125AD"/>
    <w:rsid w:val="00921E09"/>
    <w:rsid w:val="00932DCB"/>
    <w:rsid w:val="00944C61"/>
    <w:rsid w:val="00956837"/>
    <w:rsid w:val="0095732A"/>
    <w:rsid w:val="00960D9D"/>
    <w:rsid w:val="009628B5"/>
    <w:rsid w:val="009672BD"/>
    <w:rsid w:val="00970977"/>
    <w:rsid w:val="009718CB"/>
    <w:rsid w:val="00974F6B"/>
    <w:rsid w:val="00975076"/>
    <w:rsid w:val="009774E0"/>
    <w:rsid w:val="00980457"/>
    <w:rsid w:val="00986DFF"/>
    <w:rsid w:val="00993FFB"/>
    <w:rsid w:val="00994419"/>
    <w:rsid w:val="009A0A37"/>
    <w:rsid w:val="009A5D5E"/>
    <w:rsid w:val="009A75A8"/>
    <w:rsid w:val="009B12CE"/>
    <w:rsid w:val="009B3684"/>
    <w:rsid w:val="009B7FE0"/>
    <w:rsid w:val="009C34FB"/>
    <w:rsid w:val="009C4D85"/>
    <w:rsid w:val="009D4174"/>
    <w:rsid w:val="009D6AAF"/>
    <w:rsid w:val="009D793D"/>
    <w:rsid w:val="009E39E2"/>
    <w:rsid w:val="009E3F07"/>
    <w:rsid w:val="009E48D9"/>
    <w:rsid w:val="00A00C12"/>
    <w:rsid w:val="00A059E9"/>
    <w:rsid w:val="00A06BA5"/>
    <w:rsid w:val="00A06D08"/>
    <w:rsid w:val="00A07198"/>
    <w:rsid w:val="00A073CA"/>
    <w:rsid w:val="00A107E8"/>
    <w:rsid w:val="00A12781"/>
    <w:rsid w:val="00A165DF"/>
    <w:rsid w:val="00A215D6"/>
    <w:rsid w:val="00A22D22"/>
    <w:rsid w:val="00A23636"/>
    <w:rsid w:val="00A2520F"/>
    <w:rsid w:val="00A2756E"/>
    <w:rsid w:val="00A31DA0"/>
    <w:rsid w:val="00A4047C"/>
    <w:rsid w:val="00A4346E"/>
    <w:rsid w:val="00A465CC"/>
    <w:rsid w:val="00A51F99"/>
    <w:rsid w:val="00A53295"/>
    <w:rsid w:val="00A535EC"/>
    <w:rsid w:val="00A55574"/>
    <w:rsid w:val="00A621E1"/>
    <w:rsid w:val="00A63766"/>
    <w:rsid w:val="00A64C4A"/>
    <w:rsid w:val="00A67488"/>
    <w:rsid w:val="00A67C53"/>
    <w:rsid w:val="00A7164E"/>
    <w:rsid w:val="00A71A54"/>
    <w:rsid w:val="00A75913"/>
    <w:rsid w:val="00A800BA"/>
    <w:rsid w:val="00A81980"/>
    <w:rsid w:val="00A82205"/>
    <w:rsid w:val="00A86FB6"/>
    <w:rsid w:val="00A94FB4"/>
    <w:rsid w:val="00AA105D"/>
    <w:rsid w:val="00AA3B56"/>
    <w:rsid w:val="00AA5893"/>
    <w:rsid w:val="00AA58E0"/>
    <w:rsid w:val="00AB01F8"/>
    <w:rsid w:val="00AB2A5E"/>
    <w:rsid w:val="00AB3554"/>
    <w:rsid w:val="00AB597D"/>
    <w:rsid w:val="00AD1C20"/>
    <w:rsid w:val="00AD1D49"/>
    <w:rsid w:val="00AD7420"/>
    <w:rsid w:val="00AE0108"/>
    <w:rsid w:val="00AE393C"/>
    <w:rsid w:val="00AF5773"/>
    <w:rsid w:val="00AF5884"/>
    <w:rsid w:val="00AF6055"/>
    <w:rsid w:val="00AF7165"/>
    <w:rsid w:val="00B03A94"/>
    <w:rsid w:val="00B06428"/>
    <w:rsid w:val="00B06973"/>
    <w:rsid w:val="00B102F7"/>
    <w:rsid w:val="00B116B3"/>
    <w:rsid w:val="00B13A16"/>
    <w:rsid w:val="00B13A17"/>
    <w:rsid w:val="00B173DD"/>
    <w:rsid w:val="00B23CCC"/>
    <w:rsid w:val="00B2630A"/>
    <w:rsid w:val="00B30F2B"/>
    <w:rsid w:val="00B31BB1"/>
    <w:rsid w:val="00B326D7"/>
    <w:rsid w:val="00B33621"/>
    <w:rsid w:val="00B36042"/>
    <w:rsid w:val="00B37409"/>
    <w:rsid w:val="00B4391D"/>
    <w:rsid w:val="00B466A6"/>
    <w:rsid w:val="00B4686A"/>
    <w:rsid w:val="00B503A5"/>
    <w:rsid w:val="00B50E5C"/>
    <w:rsid w:val="00B52895"/>
    <w:rsid w:val="00B55FA4"/>
    <w:rsid w:val="00B617E4"/>
    <w:rsid w:val="00B61CE6"/>
    <w:rsid w:val="00B6257C"/>
    <w:rsid w:val="00B67184"/>
    <w:rsid w:val="00B744A0"/>
    <w:rsid w:val="00B768DA"/>
    <w:rsid w:val="00B82DC4"/>
    <w:rsid w:val="00B841F2"/>
    <w:rsid w:val="00B93286"/>
    <w:rsid w:val="00B93C91"/>
    <w:rsid w:val="00B95560"/>
    <w:rsid w:val="00B96E39"/>
    <w:rsid w:val="00BA281A"/>
    <w:rsid w:val="00BA2B49"/>
    <w:rsid w:val="00BA540E"/>
    <w:rsid w:val="00BA56F6"/>
    <w:rsid w:val="00BB05AB"/>
    <w:rsid w:val="00BB1F45"/>
    <w:rsid w:val="00BB36AA"/>
    <w:rsid w:val="00BB65E3"/>
    <w:rsid w:val="00BC0B4D"/>
    <w:rsid w:val="00BC6317"/>
    <w:rsid w:val="00BC7935"/>
    <w:rsid w:val="00BD0FA5"/>
    <w:rsid w:val="00BD22AC"/>
    <w:rsid w:val="00BD3C4B"/>
    <w:rsid w:val="00BD4A73"/>
    <w:rsid w:val="00BD5094"/>
    <w:rsid w:val="00BD50FA"/>
    <w:rsid w:val="00BD5F72"/>
    <w:rsid w:val="00BD5FCA"/>
    <w:rsid w:val="00BE0B65"/>
    <w:rsid w:val="00BE24BB"/>
    <w:rsid w:val="00BE4A15"/>
    <w:rsid w:val="00BE5146"/>
    <w:rsid w:val="00BE5851"/>
    <w:rsid w:val="00BE5865"/>
    <w:rsid w:val="00BE5F66"/>
    <w:rsid w:val="00BE6EFC"/>
    <w:rsid w:val="00BF0316"/>
    <w:rsid w:val="00BF0565"/>
    <w:rsid w:val="00BF1134"/>
    <w:rsid w:val="00BF67DA"/>
    <w:rsid w:val="00BF7E5E"/>
    <w:rsid w:val="00C146BC"/>
    <w:rsid w:val="00C21558"/>
    <w:rsid w:val="00C227D8"/>
    <w:rsid w:val="00C2340C"/>
    <w:rsid w:val="00C24892"/>
    <w:rsid w:val="00C2523C"/>
    <w:rsid w:val="00C27C29"/>
    <w:rsid w:val="00C30B75"/>
    <w:rsid w:val="00C338C1"/>
    <w:rsid w:val="00C3481E"/>
    <w:rsid w:val="00C34968"/>
    <w:rsid w:val="00C44C90"/>
    <w:rsid w:val="00C46D60"/>
    <w:rsid w:val="00C51212"/>
    <w:rsid w:val="00C56FE6"/>
    <w:rsid w:val="00C578BB"/>
    <w:rsid w:val="00C612F0"/>
    <w:rsid w:val="00C62D8F"/>
    <w:rsid w:val="00C62F58"/>
    <w:rsid w:val="00C714A4"/>
    <w:rsid w:val="00C73BD2"/>
    <w:rsid w:val="00C744DB"/>
    <w:rsid w:val="00C7493F"/>
    <w:rsid w:val="00C76327"/>
    <w:rsid w:val="00C7752F"/>
    <w:rsid w:val="00C82262"/>
    <w:rsid w:val="00C8377A"/>
    <w:rsid w:val="00C87B5A"/>
    <w:rsid w:val="00C97F20"/>
    <w:rsid w:val="00C97FA3"/>
    <w:rsid w:val="00CA0606"/>
    <w:rsid w:val="00CA0783"/>
    <w:rsid w:val="00CA4774"/>
    <w:rsid w:val="00CA6C46"/>
    <w:rsid w:val="00CA7599"/>
    <w:rsid w:val="00CB4BEC"/>
    <w:rsid w:val="00CB5A0C"/>
    <w:rsid w:val="00CB6AC6"/>
    <w:rsid w:val="00CB712F"/>
    <w:rsid w:val="00CC3274"/>
    <w:rsid w:val="00CC3D8C"/>
    <w:rsid w:val="00CC45EB"/>
    <w:rsid w:val="00CC6F1D"/>
    <w:rsid w:val="00CC7416"/>
    <w:rsid w:val="00CD12A5"/>
    <w:rsid w:val="00CD149F"/>
    <w:rsid w:val="00CD1ED9"/>
    <w:rsid w:val="00CD2289"/>
    <w:rsid w:val="00CD4179"/>
    <w:rsid w:val="00CD4FAF"/>
    <w:rsid w:val="00CD6600"/>
    <w:rsid w:val="00CE4A7D"/>
    <w:rsid w:val="00CF0803"/>
    <w:rsid w:val="00CF129A"/>
    <w:rsid w:val="00CF529A"/>
    <w:rsid w:val="00CF5682"/>
    <w:rsid w:val="00CF5AA0"/>
    <w:rsid w:val="00CF5EFF"/>
    <w:rsid w:val="00D02E8E"/>
    <w:rsid w:val="00D05B48"/>
    <w:rsid w:val="00D06B1E"/>
    <w:rsid w:val="00D10D93"/>
    <w:rsid w:val="00D11D5E"/>
    <w:rsid w:val="00D12F64"/>
    <w:rsid w:val="00D15041"/>
    <w:rsid w:val="00D161CD"/>
    <w:rsid w:val="00D1650D"/>
    <w:rsid w:val="00D214B9"/>
    <w:rsid w:val="00D2161D"/>
    <w:rsid w:val="00D240F1"/>
    <w:rsid w:val="00D3090E"/>
    <w:rsid w:val="00D3184D"/>
    <w:rsid w:val="00D33151"/>
    <w:rsid w:val="00D37224"/>
    <w:rsid w:val="00D4060D"/>
    <w:rsid w:val="00D406CE"/>
    <w:rsid w:val="00D43F73"/>
    <w:rsid w:val="00D46F34"/>
    <w:rsid w:val="00D47073"/>
    <w:rsid w:val="00D5102D"/>
    <w:rsid w:val="00D51AA0"/>
    <w:rsid w:val="00D543F5"/>
    <w:rsid w:val="00D55BCE"/>
    <w:rsid w:val="00D565A9"/>
    <w:rsid w:val="00D60EFE"/>
    <w:rsid w:val="00D70275"/>
    <w:rsid w:val="00D71B06"/>
    <w:rsid w:val="00D7262F"/>
    <w:rsid w:val="00D73F4C"/>
    <w:rsid w:val="00D74750"/>
    <w:rsid w:val="00D749E4"/>
    <w:rsid w:val="00D74E25"/>
    <w:rsid w:val="00D81365"/>
    <w:rsid w:val="00D846A6"/>
    <w:rsid w:val="00D86C20"/>
    <w:rsid w:val="00D9144C"/>
    <w:rsid w:val="00D9295B"/>
    <w:rsid w:val="00D95A31"/>
    <w:rsid w:val="00D9706C"/>
    <w:rsid w:val="00D97744"/>
    <w:rsid w:val="00D97BB1"/>
    <w:rsid w:val="00DA1D08"/>
    <w:rsid w:val="00DA3DF7"/>
    <w:rsid w:val="00DA46DB"/>
    <w:rsid w:val="00DA566A"/>
    <w:rsid w:val="00DA6CE9"/>
    <w:rsid w:val="00DA7142"/>
    <w:rsid w:val="00DB0B3A"/>
    <w:rsid w:val="00DB716F"/>
    <w:rsid w:val="00DC33A1"/>
    <w:rsid w:val="00DC4573"/>
    <w:rsid w:val="00DC5D1F"/>
    <w:rsid w:val="00DC6813"/>
    <w:rsid w:val="00DC70BB"/>
    <w:rsid w:val="00DC73FA"/>
    <w:rsid w:val="00DD0524"/>
    <w:rsid w:val="00DD170E"/>
    <w:rsid w:val="00DD1FB8"/>
    <w:rsid w:val="00DD2535"/>
    <w:rsid w:val="00DD6FFD"/>
    <w:rsid w:val="00DE0A60"/>
    <w:rsid w:val="00DE4FB0"/>
    <w:rsid w:val="00DE6040"/>
    <w:rsid w:val="00DF52D7"/>
    <w:rsid w:val="00DF55AA"/>
    <w:rsid w:val="00DF7359"/>
    <w:rsid w:val="00E015D9"/>
    <w:rsid w:val="00E0257F"/>
    <w:rsid w:val="00E02CE4"/>
    <w:rsid w:val="00E1084E"/>
    <w:rsid w:val="00E12B44"/>
    <w:rsid w:val="00E20BB5"/>
    <w:rsid w:val="00E24F4D"/>
    <w:rsid w:val="00E2707D"/>
    <w:rsid w:val="00E303FF"/>
    <w:rsid w:val="00E32978"/>
    <w:rsid w:val="00E34777"/>
    <w:rsid w:val="00E35D12"/>
    <w:rsid w:val="00E35D4D"/>
    <w:rsid w:val="00E36E52"/>
    <w:rsid w:val="00E444DA"/>
    <w:rsid w:val="00E52391"/>
    <w:rsid w:val="00E55EE1"/>
    <w:rsid w:val="00E62A2E"/>
    <w:rsid w:val="00E71B8C"/>
    <w:rsid w:val="00E71D20"/>
    <w:rsid w:val="00E730AF"/>
    <w:rsid w:val="00E737C0"/>
    <w:rsid w:val="00E73E03"/>
    <w:rsid w:val="00E74FDF"/>
    <w:rsid w:val="00E83CFE"/>
    <w:rsid w:val="00E83D96"/>
    <w:rsid w:val="00E865E8"/>
    <w:rsid w:val="00E87154"/>
    <w:rsid w:val="00E9251A"/>
    <w:rsid w:val="00E92BF2"/>
    <w:rsid w:val="00E94E12"/>
    <w:rsid w:val="00E9570F"/>
    <w:rsid w:val="00E971BA"/>
    <w:rsid w:val="00E97B97"/>
    <w:rsid w:val="00EA0C3A"/>
    <w:rsid w:val="00EA2BA3"/>
    <w:rsid w:val="00EA4F0A"/>
    <w:rsid w:val="00EA7A24"/>
    <w:rsid w:val="00EB11C4"/>
    <w:rsid w:val="00EC1278"/>
    <w:rsid w:val="00EC20E8"/>
    <w:rsid w:val="00EC7F2B"/>
    <w:rsid w:val="00ED6C72"/>
    <w:rsid w:val="00ED7E88"/>
    <w:rsid w:val="00EE1C66"/>
    <w:rsid w:val="00EE1FFD"/>
    <w:rsid w:val="00EE7EC2"/>
    <w:rsid w:val="00EF1CE6"/>
    <w:rsid w:val="00EF4B60"/>
    <w:rsid w:val="00F02A60"/>
    <w:rsid w:val="00F03571"/>
    <w:rsid w:val="00F04EF4"/>
    <w:rsid w:val="00F062DF"/>
    <w:rsid w:val="00F06D54"/>
    <w:rsid w:val="00F1140B"/>
    <w:rsid w:val="00F1366A"/>
    <w:rsid w:val="00F13C74"/>
    <w:rsid w:val="00F14803"/>
    <w:rsid w:val="00F166B5"/>
    <w:rsid w:val="00F16B0E"/>
    <w:rsid w:val="00F17623"/>
    <w:rsid w:val="00F2349C"/>
    <w:rsid w:val="00F239BF"/>
    <w:rsid w:val="00F24E72"/>
    <w:rsid w:val="00F25F26"/>
    <w:rsid w:val="00F26B90"/>
    <w:rsid w:val="00F312E3"/>
    <w:rsid w:val="00F3326A"/>
    <w:rsid w:val="00F3471F"/>
    <w:rsid w:val="00F3507E"/>
    <w:rsid w:val="00F3597E"/>
    <w:rsid w:val="00F36F19"/>
    <w:rsid w:val="00F37C48"/>
    <w:rsid w:val="00F40169"/>
    <w:rsid w:val="00F403E8"/>
    <w:rsid w:val="00F40C59"/>
    <w:rsid w:val="00F40CDB"/>
    <w:rsid w:val="00F43BAB"/>
    <w:rsid w:val="00F44174"/>
    <w:rsid w:val="00F504B8"/>
    <w:rsid w:val="00F50ED5"/>
    <w:rsid w:val="00F528BD"/>
    <w:rsid w:val="00F61C46"/>
    <w:rsid w:val="00F61DC8"/>
    <w:rsid w:val="00F64F7A"/>
    <w:rsid w:val="00F66139"/>
    <w:rsid w:val="00F70612"/>
    <w:rsid w:val="00F8042B"/>
    <w:rsid w:val="00F81355"/>
    <w:rsid w:val="00F84CAA"/>
    <w:rsid w:val="00F85347"/>
    <w:rsid w:val="00F85847"/>
    <w:rsid w:val="00F901AD"/>
    <w:rsid w:val="00F92A1F"/>
    <w:rsid w:val="00F92D6B"/>
    <w:rsid w:val="00F94096"/>
    <w:rsid w:val="00F94DFF"/>
    <w:rsid w:val="00FB2ED9"/>
    <w:rsid w:val="00FB3BAC"/>
    <w:rsid w:val="00FB4F74"/>
    <w:rsid w:val="00FB5202"/>
    <w:rsid w:val="00FC6144"/>
    <w:rsid w:val="00FC73DF"/>
    <w:rsid w:val="00FD03AB"/>
    <w:rsid w:val="00FE4F30"/>
    <w:rsid w:val="00FF3B73"/>
    <w:rsid w:val="00FF5A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1449D"/>
  <w15:docId w15:val="{1597E2EA-7D11-4E14-8FA9-88F28484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Naslov1">
    <w:name w:val="heading 1"/>
    <w:basedOn w:val="Normal"/>
    <w:next w:val="Normal"/>
    <w:link w:val="Naslov1Char"/>
    <w:uiPriority w:val="9"/>
    <w:qFormat/>
    <w:rsid w:val="00FB3BAC"/>
    <w:pPr>
      <w:keepNext/>
      <w:keepLines/>
      <w:spacing w:before="240" w:after="0"/>
      <w:outlineLvl w:val="0"/>
    </w:pPr>
    <w:rPr>
      <w:rFonts w:ascii="Times New Roman" w:eastAsiaTheme="majorEastAsia" w:hAnsi="Times New Roman" w:cstheme="majorBidi"/>
      <w:b/>
      <w:sz w:val="28"/>
      <w:szCs w:val="32"/>
    </w:rPr>
  </w:style>
  <w:style w:type="paragraph" w:styleId="Naslov2">
    <w:name w:val="heading 2"/>
    <w:basedOn w:val="Normal"/>
    <w:next w:val="Normal"/>
    <w:link w:val="Naslov2Char"/>
    <w:autoRedefine/>
    <w:uiPriority w:val="9"/>
    <w:unhideWhenUsed/>
    <w:qFormat/>
    <w:rsid w:val="00CF5682"/>
    <w:pPr>
      <w:keepNext/>
      <w:keepLines/>
      <w:numPr>
        <w:ilvl w:val="1"/>
        <w:numId w:val="32"/>
      </w:numPr>
      <w:spacing w:after="0" w:line="276" w:lineRule="auto"/>
      <w:jc w:val="both"/>
      <w:outlineLvl w:val="1"/>
    </w:pPr>
    <w:rPr>
      <w:rFonts w:ascii="Times New Roman" w:eastAsia="Times New Roman" w:hAnsi="Times New Roman" w:cs="Times New Roman"/>
      <w:b/>
      <w:sz w:val="28"/>
      <w:szCs w:val="28"/>
      <w:lang w:eastAsia="hr-HR"/>
    </w:rPr>
  </w:style>
  <w:style w:type="paragraph" w:styleId="Naslov3">
    <w:name w:val="heading 3"/>
    <w:basedOn w:val="Normal"/>
    <w:next w:val="Normal"/>
    <w:link w:val="Naslov3Char"/>
    <w:autoRedefine/>
    <w:uiPriority w:val="9"/>
    <w:unhideWhenUsed/>
    <w:qFormat/>
    <w:rsid w:val="00FB3BAC"/>
    <w:pPr>
      <w:keepNext/>
      <w:keepLines/>
      <w:numPr>
        <w:ilvl w:val="2"/>
        <w:numId w:val="32"/>
      </w:numPr>
      <w:spacing w:after="0"/>
      <w:outlineLvl w:val="2"/>
    </w:pPr>
    <w:rPr>
      <w:rFonts w:ascii="Times New Roman" w:eastAsiaTheme="majorEastAsia" w:hAnsi="Times New Roman" w:cs="Times New Roman"/>
      <w:b/>
      <w:sz w:val="24"/>
      <w:szCs w:val="24"/>
    </w:rPr>
  </w:style>
  <w:style w:type="paragraph" w:styleId="Naslov4">
    <w:name w:val="heading 4"/>
    <w:basedOn w:val="Normal"/>
    <w:next w:val="Normal"/>
    <w:link w:val="Naslov4Char"/>
    <w:autoRedefine/>
    <w:uiPriority w:val="9"/>
    <w:unhideWhenUsed/>
    <w:qFormat/>
    <w:rsid w:val="00875D7C"/>
    <w:pPr>
      <w:keepNext/>
      <w:keepLines/>
      <w:spacing w:before="40" w:after="0" w:line="276" w:lineRule="auto"/>
      <w:outlineLvl w:val="3"/>
    </w:pPr>
    <w:rPr>
      <w:rFonts w:ascii="Times New Roman" w:eastAsiaTheme="majorEastAsia" w:hAnsi="Times New Roman" w:cs="Times New Roman"/>
      <w:b/>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7D6B2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Naglaeno">
    <w:name w:val="Strong"/>
    <w:basedOn w:val="Zadanifontodlomka"/>
    <w:uiPriority w:val="22"/>
    <w:qFormat/>
    <w:rsid w:val="007D6B2B"/>
    <w:rPr>
      <w:b/>
      <w:bCs/>
    </w:rPr>
  </w:style>
  <w:style w:type="character" w:styleId="Hiperveza">
    <w:name w:val="Hyperlink"/>
    <w:basedOn w:val="Zadanifontodlomka"/>
    <w:uiPriority w:val="99"/>
    <w:unhideWhenUsed/>
    <w:rsid w:val="007D6B2B"/>
    <w:rPr>
      <w:color w:val="0000FF"/>
      <w:u w:val="single"/>
    </w:rPr>
  </w:style>
  <w:style w:type="character" w:customStyle="1" w:styleId="kurziv">
    <w:name w:val="kurziv"/>
    <w:basedOn w:val="Zadanifontodlomka"/>
    <w:rsid w:val="007D6B2B"/>
  </w:style>
  <w:style w:type="paragraph" w:styleId="Odlomakpopisa">
    <w:name w:val="List Paragraph"/>
    <w:aliases w:val="opsomming 1,2,3 *-,Heading 12,naslov 1,Bulet,Morana 1,REPORT Bullet,Nabrajanje,Tocka,KiF bullets,UNIZG_ALU_bullet,Lettre d'introduction,FM,Akapit z listą BS,Bullet1,References,List Paragraph (numbered (a)),List_Paragraph"/>
    <w:basedOn w:val="Normal"/>
    <w:link w:val="OdlomakpopisaChar"/>
    <w:uiPriority w:val="34"/>
    <w:qFormat/>
    <w:rsid w:val="003A0E53"/>
    <w:pPr>
      <w:spacing w:after="0" w:line="240" w:lineRule="auto"/>
      <w:ind w:left="720"/>
      <w:contextualSpacing/>
    </w:pPr>
    <w:rPr>
      <w:rFonts w:ascii="Calibri" w:eastAsia="Calibri" w:hAnsi="Calibri" w:cs="Times New Roman"/>
      <w:kern w:val="0"/>
      <w14:ligatures w14:val="none"/>
    </w:rPr>
  </w:style>
  <w:style w:type="table" w:styleId="Reetkatablice">
    <w:name w:val="Table Grid"/>
    <w:basedOn w:val="Obinatablica"/>
    <w:uiPriority w:val="39"/>
    <w:rsid w:val="0094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Bulet Char,Morana 1 Char,REPORT Bullet Char,Nabrajanje Char,Tocka Char,KiF bullets Char,UNIZG_ALU_bullet Char,Lettre d'introduction Char,FM Char,Akapit z listą BS Char"/>
    <w:basedOn w:val="Zadanifontodlomka"/>
    <w:link w:val="Odlomakpopisa"/>
    <w:uiPriority w:val="34"/>
    <w:qFormat/>
    <w:rsid w:val="00E444DA"/>
    <w:rPr>
      <w:rFonts w:ascii="Calibri" w:eastAsia="Calibri" w:hAnsi="Calibri" w:cs="Times New Roman"/>
      <w:kern w:val="0"/>
      <w14:ligatures w14:val="none"/>
    </w:rPr>
  </w:style>
  <w:style w:type="table" w:customStyle="1" w:styleId="Svijetlareetkatablice1">
    <w:name w:val="Svijetla rešetka tablice1"/>
    <w:basedOn w:val="Obinatablica"/>
    <w:uiPriority w:val="40"/>
    <w:rsid w:val="000921BB"/>
    <w:pPr>
      <w:spacing w:after="0" w:line="240" w:lineRule="auto"/>
    </w:pPr>
    <w:rPr>
      <w:rFonts w:ascii="Calibri" w:eastAsia="Calibri" w:hAnsi="Calibri" w:cs="Times New Roman"/>
      <w:kern w:val="0"/>
      <w:sz w:val="20"/>
      <w:szCs w:val="20"/>
      <w:lang w:eastAsia="hr-H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aglavlje">
    <w:name w:val="header"/>
    <w:basedOn w:val="Normal"/>
    <w:link w:val="ZaglavljeChar"/>
    <w:uiPriority w:val="99"/>
    <w:unhideWhenUsed/>
    <w:rsid w:val="00E74F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4FDF"/>
  </w:style>
  <w:style w:type="paragraph" w:styleId="Podnoje">
    <w:name w:val="footer"/>
    <w:basedOn w:val="Normal"/>
    <w:link w:val="PodnojeChar"/>
    <w:uiPriority w:val="99"/>
    <w:unhideWhenUsed/>
    <w:rsid w:val="00E74F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4FDF"/>
  </w:style>
  <w:style w:type="character" w:customStyle="1" w:styleId="Naslov1Char">
    <w:name w:val="Naslov 1 Char"/>
    <w:basedOn w:val="Zadanifontodlomka"/>
    <w:link w:val="Naslov1"/>
    <w:uiPriority w:val="9"/>
    <w:rsid w:val="00FB3BAC"/>
    <w:rPr>
      <w:rFonts w:ascii="Times New Roman" w:eastAsiaTheme="majorEastAsia" w:hAnsi="Times New Roman" w:cstheme="majorBidi"/>
      <w:b/>
      <w:noProof/>
      <w:sz w:val="28"/>
      <w:szCs w:val="32"/>
    </w:rPr>
  </w:style>
  <w:style w:type="character" w:customStyle="1" w:styleId="Naslov2Char">
    <w:name w:val="Naslov 2 Char"/>
    <w:basedOn w:val="Zadanifontodlomka"/>
    <w:link w:val="Naslov2"/>
    <w:uiPriority w:val="9"/>
    <w:rsid w:val="00CF5682"/>
    <w:rPr>
      <w:rFonts w:ascii="Times New Roman" w:eastAsia="Times New Roman" w:hAnsi="Times New Roman" w:cs="Times New Roman"/>
      <w:b/>
      <w:noProof/>
      <w:sz w:val="28"/>
      <w:szCs w:val="28"/>
      <w:lang w:eastAsia="hr-HR"/>
    </w:rPr>
  </w:style>
  <w:style w:type="paragraph" w:customStyle="1" w:styleId="box468252">
    <w:name w:val="box_468252"/>
    <w:basedOn w:val="Normal"/>
    <w:rsid w:val="001E158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aslov3Char">
    <w:name w:val="Naslov 3 Char"/>
    <w:basedOn w:val="Zadanifontodlomka"/>
    <w:link w:val="Naslov3"/>
    <w:uiPriority w:val="9"/>
    <w:rsid w:val="00FB3BAC"/>
    <w:rPr>
      <w:rFonts w:ascii="Times New Roman" w:eastAsiaTheme="majorEastAsia" w:hAnsi="Times New Roman" w:cs="Times New Roman"/>
      <w:b/>
      <w:noProof/>
      <w:sz w:val="24"/>
      <w:szCs w:val="24"/>
    </w:rPr>
  </w:style>
  <w:style w:type="paragraph" w:styleId="TOCNaslov">
    <w:name w:val="TOC Heading"/>
    <w:basedOn w:val="Naslov1"/>
    <w:next w:val="Normal"/>
    <w:uiPriority w:val="39"/>
    <w:unhideWhenUsed/>
    <w:qFormat/>
    <w:rsid w:val="00C24892"/>
    <w:pPr>
      <w:outlineLvl w:val="9"/>
    </w:pPr>
    <w:rPr>
      <w:kern w:val="0"/>
      <w:lang w:val="en-GB" w:eastAsia="en-GB"/>
      <w14:ligatures w14:val="none"/>
    </w:rPr>
  </w:style>
  <w:style w:type="paragraph" w:styleId="Sadraj1">
    <w:name w:val="toc 1"/>
    <w:basedOn w:val="Normal"/>
    <w:next w:val="Normal"/>
    <w:autoRedefine/>
    <w:uiPriority w:val="39"/>
    <w:unhideWhenUsed/>
    <w:rsid w:val="00C24892"/>
    <w:pPr>
      <w:spacing w:after="100"/>
    </w:pPr>
  </w:style>
  <w:style w:type="paragraph" w:styleId="Sadraj2">
    <w:name w:val="toc 2"/>
    <w:basedOn w:val="Normal"/>
    <w:next w:val="Normal"/>
    <w:autoRedefine/>
    <w:uiPriority w:val="39"/>
    <w:unhideWhenUsed/>
    <w:rsid w:val="00C24892"/>
    <w:pPr>
      <w:spacing w:after="100"/>
      <w:ind w:left="220"/>
    </w:pPr>
  </w:style>
  <w:style w:type="paragraph" w:styleId="Sadraj3">
    <w:name w:val="toc 3"/>
    <w:basedOn w:val="Normal"/>
    <w:next w:val="Normal"/>
    <w:autoRedefine/>
    <w:uiPriority w:val="39"/>
    <w:unhideWhenUsed/>
    <w:rsid w:val="00C24892"/>
    <w:pPr>
      <w:spacing w:after="100"/>
      <w:ind w:left="440"/>
    </w:pPr>
  </w:style>
  <w:style w:type="character" w:customStyle="1" w:styleId="Naslov4Char">
    <w:name w:val="Naslov 4 Char"/>
    <w:basedOn w:val="Zadanifontodlomka"/>
    <w:link w:val="Naslov4"/>
    <w:uiPriority w:val="9"/>
    <w:rsid w:val="00875D7C"/>
    <w:rPr>
      <w:rFonts w:ascii="Times New Roman" w:eastAsiaTheme="majorEastAsia" w:hAnsi="Times New Roman" w:cs="Times New Roman"/>
      <w:b/>
      <w:iCs/>
      <w:noProof/>
    </w:rPr>
  </w:style>
  <w:style w:type="paragraph" w:styleId="Tijeloteksta">
    <w:name w:val="Body Text"/>
    <w:basedOn w:val="Normal"/>
    <w:link w:val="TijelotekstaChar"/>
    <w:rsid w:val="00F166B5"/>
    <w:pPr>
      <w:spacing w:after="0" w:line="240" w:lineRule="auto"/>
    </w:pPr>
    <w:rPr>
      <w:rFonts w:ascii="Times New Roman" w:eastAsia="Times New Roman" w:hAnsi="Times New Roman" w:cs="Times New Roman"/>
      <w:kern w:val="0"/>
      <w:sz w:val="24"/>
      <w:szCs w:val="20"/>
      <w:lang w:eastAsia="hr-HR"/>
      <w14:ligatures w14:val="none"/>
    </w:rPr>
  </w:style>
  <w:style w:type="character" w:customStyle="1" w:styleId="TijelotekstaChar">
    <w:name w:val="Tijelo teksta Char"/>
    <w:basedOn w:val="Zadanifontodlomka"/>
    <w:link w:val="Tijeloteksta"/>
    <w:rsid w:val="00F166B5"/>
    <w:rPr>
      <w:rFonts w:ascii="Times New Roman" w:eastAsia="Times New Roman" w:hAnsi="Times New Roman" w:cs="Times New Roman"/>
      <w:kern w:val="0"/>
      <w:sz w:val="24"/>
      <w:szCs w:val="20"/>
      <w:lang w:eastAsia="hr-HR"/>
      <w14:ligatures w14:val="none"/>
    </w:rPr>
  </w:style>
  <w:style w:type="paragraph" w:customStyle="1" w:styleId="Default">
    <w:name w:val="Default"/>
    <w:rsid w:val="00CF529A"/>
    <w:pPr>
      <w:autoSpaceDE w:val="0"/>
      <w:autoSpaceDN w:val="0"/>
      <w:adjustRightInd w:val="0"/>
      <w:spacing w:after="0" w:line="240" w:lineRule="auto"/>
    </w:pPr>
    <w:rPr>
      <w:rFonts w:ascii="Arial" w:hAnsi="Arial" w:cs="Arial"/>
      <w:color w:val="000000"/>
      <w:kern w:val="0"/>
      <w:sz w:val="24"/>
      <w:szCs w:val="24"/>
      <w:lang w:val="en-GB"/>
    </w:rPr>
  </w:style>
  <w:style w:type="character" w:customStyle="1" w:styleId="markedcontent">
    <w:name w:val="markedcontent"/>
    <w:basedOn w:val="Zadanifontodlomka"/>
    <w:rsid w:val="00370AD1"/>
  </w:style>
  <w:style w:type="paragraph" w:styleId="Tekstfusnote">
    <w:name w:val="footnote text"/>
    <w:basedOn w:val="Normal"/>
    <w:link w:val="TekstfusnoteChar"/>
    <w:uiPriority w:val="99"/>
    <w:semiHidden/>
    <w:unhideWhenUsed/>
    <w:rsid w:val="00C578B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C578BB"/>
    <w:rPr>
      <w:noProof/>
      <w:sz w:val="20"/>
      <w:szCs w:val="20"/>
    </w:rPr>
  </w:style>
  <w:style w:type="character" w:styleId="Referencafusnote">
    <w:name w:val="footnote reference"/>
    <w:basedOn w:val="Zadanifontodlomka"/>
    <w:uiPriority w:val="99"/>
    <w:semiHidden/>
    <w:unhideWhenUsed/>
    <w:rsid w:val="00C57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6940">
      <w:bodyDiv w:val="1"/>
      <w:marLeft w:val="0"/>
      <w:marRight w:val="0"/>
      <w:marTop w:val="0"/>
      <w:marBottom w:val="0"/>
      <w:divBdr>
        <w:top w:val="none" w:sz="0" w:space="0" w:color="auto"/>
        <w:left w:val="none" w:sz="0" w:space="0" w:color="auto"/>
        <w:bottom w:val="none" w:sz="0" w:space="0" w:color="auto"/>
        <w:right w:val="none" w:sz="0" w:space="0" w:color="auto"/>
      </w:divBdr>
    </w:div>
    <w:div w:id="212078957">
      <w:bodyDiv w:val="1"/>
      <w:marLeft w:val="0"/>
      <w:marRight w:val="0"/>
      <w:marTop w:val="0"/>
      <w:marBottom w:val="0"/>
      <w:divBdr>
        <w:top w:val="none" w:sz="0" w:space="0" w:color="auto"/>
        <w:left w:val="none" w:sz="0" w:space="0" w:color="auto"/>
        <w:bottom w:val="none" w:sz="0" w:space="0" w:color="auto"/>
        <w:right w:val="none" w:sz="0" w:space="0" w:color="auto"/>
      </w:divBdr>
    </w:div>
    <w:div w:id="300886776">
      <w:bodyDiv w:val="1"/>
      <w:marLeft w:val="0"/>
      <w:marRight w:val="0"/>
      <w:marTop w:val="0"/>
      <w:marBottom w:val="0"/>
      <w:divBdr>
        <w:top w:val="none" w:sz="0" w:space="0" w:color="auto"/>
        <w:left w:val="none" w:sz="0" w:space="0" w:color="auto"/>
        <w:bottom w:val="none" w:sz="0" w:space="0" w:color="auto"/>
        <w:right w:val="none" w:sz="0" w:space="0" w:color="auto"/>
      </w:divBdr>
    </w:div>
    <w:div w:id="410276229">
      <w:bodyDiv w:val="1"/>
      <w:marLeft w:val="0"/>
      <w:marRight w:val="0"/>
      <w:marTop w:val="0"/>
      <w:marBottom w:val="0"/>
      <w:divBdr>
        <w:top w:val="none" w:sz="0" w:space="0" w:color="auto"/>
        <w:left w:val="none" w:sz="0" w:space="0" w:color="auto"/>
        <w:bottom w:val="none" w:sz="0" w:space="0" w:color="auto"/>
        <w:right w:val="none" w:sz="0" w:space="0" w:color="auto"/>
      </w:divBdr>
    </w:div>
    <w:div w:id="453017066">
      <w:bodyDiv w:val="1"/>
      <w:marLeft w:val="0"/>
      <w:marRight w:val="0"/>
      <w:marTop w:val="0"/>
      <w:marBottom w:val="0"/>
      <w:divBdr>
        <w:top w:val="none" w:sz="0" w:space="0" w:color="auto"/>
        <w:left w:val="none" w:sz="0" w:space="0" w:color="auto"/>
        <w:bottom w:val="none" w:sz="0" w:space="0" w:color="auto"/>
        <w:right w:val="none" w:sz="0" w:space="0" w:color="auto"/>
      </w:divBdr>
    </w:div>
    <w:div w:id="690452533">
      <w:bodyDiv w:val="1"/>
      <w:marLeft w:val="0"/>
      <w:marRight w:val="0"/>
      <w:marTop w:val="0"/>
      <w:marBottom w:val="0"/>
      <w:divBdr>
        <w:top w:val="none" w:sz="0" w:space="0" w:color="auto"/>
        <w:left w:val="none" w:sz="0" w:space="0" w:color="auto"/>
        <w:bottom w:val="none" w:sz="0" w:space="0" w:color="auto"/>
        <w:right w:val="none" w:sz="0" w:space="0" w:color="auto"/>
      </w:divBdr>
    </w:div>
    <w:div w:id="831142061">
      <w:bodyDiv w:val="1"/>
      <w:marLeft w:val="0"/>
      <w:marRight w:val="0"/>
      <w:marTop w:val="0"/>
      <w:marBottom w:val="0"/>
      <w:divBdr>
        <w:top w:val="none" w:sz="0" w:space="0" w:color="auto"/>
        <w:left w:val="none" w:sz="0" w:space="0" w:color="auto"/>
        <w:bottom w:val="none" w:sz="0" w:space="0" w:color="auto"/>
        <w:right w:val="none" w:sz="0" w:space="0" w:color="auto"/>
      </w:divBdr>
    </w:div>
    <w:div w:id="897663347">
      <w:bodyDiv w:val="1"/>
      <w:marLeft w:val="0"/>
      <w:marRight w:val="0"/>
      <w:marTop w:val="0"/>
      <w:marBottom w:val="0"/>
      <w:divBdr>
        <w:top w:val="none" w:sz="0" w:space="0" w:color="auto"/>
        <w:left w:val="none" w:sz="0" w:space="0" w:color="auto"/>
        <w:bottom w:val="none" w:sz="0" w:space="0" w:color="auto"/>
        <w:right w:val="none" w:sz="0" w:space="0" w:color="auto"/>
      </w:divBdr>
    </w:div>
    <w:div w:id="1200977126">
      <w:bodyDiv w:val="1"/>
      <w:marLeft w:val="0"/>
      <w:marRight w:val="0"/>
      <w:marTop w:val="0"/>
      <w:marBottom w:val="0"/>
      <w:divBdr>
        <w:top w:val="none" w:sz="0" w:space="0" w:color="auto"/>
        <w:left w:val="none" w:sz="0" w:space="0" w:color="auto"/>
        <w:bottom w:val="none" w:sz="0" w:space="0" w:color="auto"/>
        <w:right w:val="none" w:sz="0" w:space="0" w:color="auto"/>
      </w:divBdr>
    </w:div>
    <w:div w:id="1225261753">
      <w:bodyDiv w:val="1"/>
      <w:marLeft w:val="0"/>
      <w:marRight w:val="0"/>
      <w:marTop w:val="0"/>
      <w:marBottom w:val="0"/>
      <w:divBdr>
        <w:top w:val="none" w:sz="0" w:space="0" w:color="auto"/>
        <w:left w:val="none" w:sz="0" w:space="0" w:color="auto"/>
        <w:bottom w:val="none" w:sz="0" w:space="0" w:color="auto"/>
        <w:right w:val="none" w:sz="0" w:space="0" w:color="auto"/>
      </w:divBdr>
    </w:div>
    <w:div w:id="1234395369">
      <w:bodyDiv w:val="1"/>
      <w:marLeft w:val="0"/>
      <w:marRight w:val="0"/>
      <w:marTop w:val="0"/>
      <w:marBottom w:val="0"/>
      <w:divBdr>
        <w:top w:val="none" w:sz="0" w:space="0" w:color="auto"/>
        <w:left w:val="none" w:sz="0" w:space="0" w:color="auto"/>
        <w:bottom w:val="none" w:sz="0" w:space="0" w:color="auto"/>
        <w:right w:val="none" w:sz="0" w:space="0" w:color="auto"/>
      </w:divBdr>
    </w:div>
    <w:div w:id="1444113096">
      <w:bodyDiv w:val="1"/>
      <w:marLeft w:val="0"/>
      <w:marRight w:val="0"/>
      <w:marTop w:val="0"/>
      <w:marBottom w:val="0"/>
      <w:divBdr>
        <w:top w:val="none" w:sz="0" w:space="0" w:color="auto"/>
        <w:left w:val="none" w:sz="0" w:space="0" w:color="auto"/>
        <w:bottom w:val="none" w:sz="0" w:space="0" w:color="auto"/>
        <w:right w:val="none" w:sz="0" w:space="0" w:color="auto"/>
      </w:divBdr>
    </w:div>
    <w:div w:id="1475954052">
      <w:bodyDiv w:val="1"/>
      <w:marLeft w:val="0"/>
      <w:marRight w:val="0"/>
      <w:marTop w:val="0"/>
      <w:marBottom w:val="0"/>
      <w:divBdr>
        <w:top w:val="none" w:sz="0" w:space="0" w:color="auto"/>
        <w:left w:val="none" w:sz="0" w:space="0" w:color="auto"/>
        <w:bottom w:val="none" w:sz="0" w:space="0" w:color="auto"/>
        <w:right w:val="none" w:sz="0" w:space="0" w:color="auto"/>
      </w:divBdr>
    </w:div>
    <w:div w:id="1555509838">
      <w:bodyDiv w:val="1"/>
      <w:marLeft w:val="0"/>
      <w:marRight w:val="0"/>
      <w:marTop w:val="0"/>
      <w:marBottom w:val="0"/>
      <w:divBdr>
        <w:top w:val="none" w:sz="0" w:space="0" w:color="auto"/>
        <w:left w:val="none" w:sz="0" w:space="0" w:color="auto"/>
        <w:bottom w:val="none" w:sz="0" w:space="0" w:color="auto"/>
        <w:right w:val="none" w:sz="0" w:space="0" w:color="auto"/>
      </w:divBdr>
    </w:div>
    <w:div w:id="1591573585">
      <w:bodyDiv w:val="1"/>
      <w:marLeft w:val="0"/>
      <w:marRight w:val="0"/>
      <w:marTop w:val="0"/>
      <w:marBottom w:val="0"/>
      <w:divBdr>
        <w:top w:val="none" w:sz="0" w:space="0" w:color="auto"/>
        <w:left w:val="none" w:sz="0" w:space="0" w:color="auto"/>
        <w:bottom w:val="none" w:sz="0" w:space="0" w:color="auto"/>
        <w:right w:val="none" w:sz="0" w:space="0" w:color="auto"/>
      </w:divBdr>
    </w:div>
    <w:div w:id="1685086941">
      <w:bodyDiv w:val="1"/>
      <w:marLeft w:val="0"/>
      <w:marRight w:val="0"/>
      <w:marTop w:val="0"/>
      <w:marBottom w:val="0"/>
      <w:divBdr>
        <w:top w:val="none" w:sz="0" w:space="0" w:color="auto"/>
        <w:left w:val="none" w:sz="0" w:space="0" w:color="auto"/>
        <w:bottom w:val="none" w:sz="0" w:space="0" w:color="auto"/>
        <w:right w:val="none" w:sz="0" w:space="0" w:color="auto"/>
      </w:divBdr>
    </w:div>
    <w:div w:id="1700817149">
      <w:bodyDiv w:val="1"/>
      <w:marLeft w:val="0"/>
      <w:marRight w:val="0"/>
      <w:marTop w:val="0"/>
      <w:marBottom w:val="0"/>
      <w:divBdr>
        <w:top w:val="none" w:sz="0" w:space="0" w:color="auto"/>
        <w:left w:val="none" w:sz="0" w:space="0" w:color="auto"/>
        <w:bottom w:val="none" w:sz="0" w:space="0" w:color="auto"/>
        <w:right w:val="none" w:sz="0" w:space="0" w:color="auto"/>
      </w:divBdr>
    </w:div>
    <w:div w:id="178599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C0D372-CD4A-4199-92DE-2DE76E24017E}"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GB"/>
        </a:p>
      </dgm:t>
    </dgm:pt>
    <dgm:pt modelId="{D6D2ACC3-D378-41EE-8DAD-00D6DEB0A354}">
      <dgm:prSet phldrT="[Tekst]"/>
      <dgm:spPr>
        <a:solidFill>
          <a:schemeClr val="accent6"/>
        </a:solidFill>
      </dgm:spPr>
      <dgm:t>
        <a:bodyPr/>
        <a:lstStyle/>
        <a:p>
          <a:r>
            <a:rPr lang="hr-HR"/>
            <a:t>OPĆI CILJ 1</a:t>
          </a:r>
          <a:endParaRPr lang="en-GB"/>
        </a:p>
      </dgm:t>
    </dgm:pt>
    <dgm:pt modelId="{592C9334-A51C-441A-883F-DD96E65DD937}" type="parTrans" cxnId="{7278DD6C-BA47-478F-8BC4-93937CB3A1CF}">
      <dgm:prSet/>
      <dgm:spPr/>
      <dgm:t>
        <a:bodyPr/>
        <a:lstStyle/>
        <a:p>
          <a:endParaRPr lang="en-GB"/>
        </a:p>
      </dgm:t>
    </dgm:pt>
    <dgm:pt modelId="{6812B853-08EA-4B70-BF4F-4082B0ED6E1E}" type="sibTrans" cxnId="{7278DD6C-BA47-478F-8BC4-93937CB3A1CF}">
      <dgm:prSet/>
      <dgm:spPr/>
      <dgm:t>
        <a:bodyPr/>
        <a:lstStyle/>
        <a:p>
          <a:endParaRPr lang="en-GB"/>
        </a:p>
      </dgm:t>
    </dgm:pt>
    <dgm:pt modelId="{4644B80F-2491-42FA-8691-CB89126D5E1C}">
      <dgm:prSet phldrT="[Tekst]"/>
      <dgm:spPr>
        <a:solidFill>
          <a:schemeClr val="accent6"/>
        </a:solidFill>
      </dgm:spPr>
      <dgm:t>
        <a:bodyPr/>
        <a:lstStyle/>
        <a:p>
          <a:r>
            <a:rPr lang="hr-HR"/>
            <a:t>Daljnji razvoj sustava gospodarenja otpadom </a:t>
          </a:r>
          <a:endParaRPr lang="en-GB"/>
        </a:p>
      </dgm:t>
    </dgm:pt>
    <dgm:pt modelId="{6FC2E298-E383-4FCD-BE9C-22804223AFB9}" type="parTrans" cxnId="{70C982F6-95F3-4DC9-9827-4E688C8DE4C2}">
      <dgm:prSet/>
      <dgm:spPr/>
      <dgm:t>
        <a:bodyPr/>
        <a:lstStyle/>
        <a:p>
          <a:endParaRPr lang="en-GB"/>
        </a:p>
      </dgm:t>
    </dgm:pt>
    <dgm:pt modelId="{93BCC6B1-B99C-44F5-8AF0-73981E489F0C}" type="sibTrans" cxnId="{70C982F6-95F3-4DC9-9827-4E688C8DE4C2}">
      <dgm:prSet/>
      <dgm:spPr/>
      <dgm:t>
        <a:bodyPr/>
        <a:lstStyle/>
        <a:p>
          <a:endParaRPr lang="en-GB"/>
        </a:p>
      </dgm:t>
    </dgm:pt>
    <dgm:pt modelId="{D1AB71CA-AF8F-4F68-AAD6-88332A8F807F}">
      <dgm:prSet phldrT="[Tekst]"/>
      <dgm:spPr>
        <a:solidFill>
          <a:schemeClr val="accent6"/>
        </a:solidFill>
      </dgm:spPr>
      <dgm:t>
        <a:bodyPr/>
        <a:lstStyle/>
        <a:p>
          <a:r>
            <a:rPr lang="hr-HR"/>
            <a:t>OPĆI CILJ 2</a:t>
          </a:r>
          <a:endParaRPr lang="en-GB"/>
        </a:p>
      </dgm:t>
    </dgm:pt>
    <dgm:pt modelId="{0CA4B330-301C-4BA6-B92F-4055A58D93B5}" type="parTrans" cxnId="{D745A318-1908-4DB5-B35B-44D544EEBF87}">
      <dgm:prSet/>
      <dgm:spPr/>
      <dgm:t>
        <a:bodyPr/>
        <a:lstStyle/>
        <a:p>
          <a:endParaRPr lang="en-GB"/>
        </a:p>
      </dgm:t>
    </dgm:pt>
    <dgm:pt modelId="{23C99D48-ABE1-4D3A-8F53-95F28A298F56}" type="sibTrans" cxnId="{D745A318-1908-4DB5-B35B-44D544EEBF87}">
      <dgm:prSet/>
      <dgm:spPr/>
      <dgm:t>
        <a:bodyPr/>
        <a:lstStyle/>
        <a:p>
          <a:endParaRPr lang="en-GB"/>
        </a:p>
      </dgm:t>
    </dgm:pt>
    <dgm:pt modelId="{69B9DB1A-1356-4B9A-91EF-39524B41612A}">
      <dgm:prSet phldrT="[Tekst]"/>
      <dgm:spPr>
        <a:solidFill>
          <a:schemeClr val="accent6"/>
        </a:solidFill>
      </dgm:spPr>
      <dgm:t>
        <a:bodyPr/>
        <a:lstStyle/>
        <a:p>
          <a:r>
            <a:rPr lang="hr-HR"/>
            <a:t>Unaprijediti uvjete rada</a:t>
          </a:r>
          <a:endParaRPr lang="en-GB"/>
        </a:p>
      </dgm:t>
    </dgm:pt>
    <dgm:pt modelId="{723991EE-3A3C-48C4-97E5-35EDD5D626BA}" type="parTrans" cxnId="{6015FBC7-C005-4B0D-B915-A4CE77DDF3C5}">
      <dgm:prSet/>
      <dgm:spPr/>
      <dgm:t>
        <a:bodyPr/>
        <a:lstStyle/>
        <a:p>
          <a:endParaRPr lang="en-GB"/>
        </a:p>
      </dgm:t>
    </dgm:pt>
    <dgm:pt modelId="{69718B10-9B7F-4257-86E5-80E978E0B9E6}" type="sibTrans" cxnId="{6015FBC7-C005-4B0D-B915-A4CE77DDF3C5}">
      <dgm:prSet/>
      <dgm:spPr/>
      <dgm:t>
        <a:bodyPr/>
        <a:lstStyle/>
        <a:p>
          <a:endParaRPr lang="en-GB"/>
        </a:p>
      </dgm:t>
    </dgm:pt>
    <dgm:pt modelId="{860113DF-143B-4AA8-B1C9-80E3C3677A6A}">
      <dgm:prSet phldrT="[Tekst]"/>
      <dgm:spPr>
        <a:solidFill>
          <a:schemeClr val="accent6"/>
        </a:solidFill>
      </dgm:spPr>
      <dgm:t>
        <a:bodyPr/>
        <a:lstStyle/>
        <a:p>
          <a:r>
            <a:rPr lang="hr-HR"/>
            <a:t>OPĆI CILJ 3</a:t>
          </a:r>
          <a:endParaRPr lang="en-GB"/>
        </a:p>
      </dgm:t>
    </dgm:pt>
    <dgm:pt modelId="{1AFAB8B0-4D68-454C-B137-F25C14D0D154}" type="parTrans" cxnId="{7A097317-57D9-4B06-B650-264420144C33}">
      <dgm:prSet/>
      <dgm:spPr/>
      <dgm:t>
        <a:bodyPr/>
        <a:lstStyle/>
        <a:p>
          <a:endParaRPr lang="en-GB"/>
        </a:p>
      </dgm:t>
    </dgm:pt>
    <dgm:pt modelId="{CD4FDBEA-AD23-4A6B-9DA2-2AA11527008D}" type="sibTrans" cxnId="{7A097317-57D9-4B06-B650-264420144C33}">
      <dgm:prSet/>
      <dgm:spPr/>
      <dgm:t>
        <a:bodyPr/>
        <a:lstStyle/>
        <a:p>
          <a:endParaRPr lang="en-GB"/>
        </a:p>
      </dgm:t>
    </dgm:pt>
    <dgm:pt modelId="{9D832401-5974-404F-B016-1332CC68F0D3}">
      <dgm:prSet phldrT="[Tekst]"/>
      <dgm:spPr>
        <a:solidFill>
          <a:schemeClr val="accent6"/>
        </a:solidFill>
      </dgm:spPr>
      <dgm:t>
        <a:bodyPr/>
        <a:lstStyle/>
        <a:p>
          <a:r>
            <a:rPr lang="hr-HR"/>
            <a:t>Stabilno i dugoročno održivo poslovanje</a:t>
          </a:r>
          <a:endParaRPr lang="en-GB"/>
        </a:p>
      </dgm:t>
    </dgm:pt>
    <dgm:pt modelId="{C405CE68-BED2-48F8-9DA9-99D703A8A7D8}" type="parTrans" cxnId="{F22A895D-E035-49D5-B730-72A6A6B18ECB}">
      <dgm:prSet/>
      <dgm:spPr/>
      <dgm:t>
        <a:bodyPr/>
        <a:lstStyle/>
        <a:p>
          <a:endParaRPr lang="en-GB"/>
        </a:p>
      </dgm:t>
    </dgm:pt>
    <dgm:pt modelId="{8F8A0D73-CEBB-4910-BE55-65107753F03C}" type="sibTrans" cxnId="{F22A895D-E035-49D5-B730-72A6A6B18ECB}">
      <dgm:prSet/>
      <dgm:spPr/>
      <dgm:t>
        <a:bodyPr/>
        <a:lstStyle/>
        <a:p>
          <a:endParaRPr lang="en-GB"/>
        </a:p>
      </dgm:t>
    </dgm:pt>
    <dgm:pt modelId="{089FA46C-06BE-4916-AF9C-56ACB10E5579}" type="pres">
      <dgm:prSet presAssocID="{ACC0D372-CD4A-4199-92DE-2DE76E24017E}" presName="Name0" presStyleCnt="0">
        <dgm:presLayoutVars>
          <dgm:dir/>
          <dgm:resizeHandles val="exact"/>
        </dgm:presLayoutVars>
      </dgm:prSet>
      <dgm:spPr/>
    </dgm:pt>
    <dgm:pt modelId="{EB27A69A-5CF5-4D2F-84F3-738C5C311244}" type="pres">
      <dgm:prSet presAssocID="{D6D2ACC3-D378-41EE-8DAD-00D6DEB0A354}" presName="node" presStyleLbl="node1" presStyleIdx="0" presStyleCnt="3">
        <dgm:presLayoutVars>
          <dgm:bulletEnabled val="1"/>
        </dgm:presLayoutVars>
      </dgm:prSet>
      <dgm:spPr/>
    </dgm:pt>
    <dgm:pt modelId="{0A9276FD-3F40-4C91-83A9-ED800FF0C020}" type="pres">
      <dgm:prSet presAssocID="{6812B853-08EA-4B70-BF4F-4082B0ED6E1E}" presName="sibTrans" presStyleCnt="0"/>
      <dgm:spPr/>
    </dgm:pt>
    <dgm:pt modelId="{C1C4FAD9-95DC-4B02-BF7A-57C9EBCB69AA}" type="pres">
      <dgm:prSet presAssocID="{D1AB71CA-AF8F-4F68-AAD6-88332A8F807F}" presName="node" presStyleLbl="node1" presStyleIdx="1" presStyleCnt="3">
        <dgm:presLayoutVars>
          <dgm:bulletEnabled val="1"/>
        </dgm:presLayoutVars>
      </dgm:prSet>
      <dgm:spPr/>
    </dgm:pt>
    <dgm:pt modelId="{00F61087-14DA-416F-8CD0-A241A264FC13}" type="pres">
      <dgm:prSet presAssocID="{23C99D48-ABE1-4D3A-8F53-95F28A298F56}" presName="sibTrans" presStyleCnt="0"/>
      <dgm:spPr/>
    </dgm:pt>
    <dgm:pt modelId="{5B2F45B2-C365-47F2-B2B8-378F1DA0481A}" type="pres">
      <dgm:prSet presAssocID="{860113DF-143B-4AA8-B1C9-80E3C3677A6A}" presName="node" presStyleLbl="node1" presStyleIdx="2" presStyleCnt="3">
        <dgm:presLayoutVars>
          <dgm:bulletEnabled val="1"/>
        </dgm:presLayoutVars>
      </dgm:prSet>
      <dgm:spPr/>
    </dgm:pt>
  </dgm:ptLst>
  <dgm:cxnLst>
    <dgm:cxn modelId="{F7898311-28E6-406B-9ECF-5B80D2C48885}" type="presOf" srcId="{860113DF-143B-4AA8-B1C9-80E3C3677A6A}" destId="{5B2F45B2-C365-47F2-B2B8-378F1DA0481A}" srcOrd="0" destOrd="0" presId="urn:microsoft.com/office/officeart/2005/8/layout/hList6"/>
    <dgm:cxn modelId="{7A097317-57D9-4B06-B650-264420144C33}" srcId="{ACC0D372-CD4A-4199-92DE-2DE76E24017E}" destId="{860113DF-143B-4AA8-B1C9-80E3C3677A6A}" srcOrd="2" destOrd="0" parTransId="{1AFAB8B0-4D68-454C-B137-F25C14D0D154}" sibTransId="{CD4FDBEA-AD23-4A6B-9DA2-2AA11527008D}"/>
    <dgm:cxn modelId="{D745A318-1908-4DB5-B35B-44D544EEBF87}" srcId="{ACC0D372-CD4A-4199-92DE-2DE76E24017E}" destId="{D1AB71CA-AF8F-4F68-AAD6-88332A8F807F}" srcOrd="1" destOrd="0" parTransId="{0CA4B330-301C-4BA6-B92F-4055A58D93B5}" sibTransId="{23C99D48-ABE1-4D3A-8F53-95F28A298F56}"/>
    <dgm:cxn modelId="{8350DE25-536F-4359-9914-1DCBE1D087A8}" type="presOf" srcId="{69B9DB1A-1356-4B9A-91EF-39524B41612A}" destId="{C1C4FAD9-95DC-4B02-BF7A-57C9EBCB69AA}" srcOrd="0" destOrd="1" presId="urn:microsoft.com/office/officeart/2005/8/layout/hList6"/>
    <dgm:cxn modelId="{F22A895D-E035-49D5-B730-72A6A6B18ECB}" srcId="{860113DF-143B-4AA8-B1C9-80E3C3677A6A}" destId="{9D832401-5974-404F-B016-1332CC68F0D3}" srcOrd="0" destOrd="0" parTransId="{C405CE68-BED2-48F8-9DA9-99D703A8A7D8}" sibTransId="{8F8A0D73-CEBB-4910-BE55-65107753F03C}"/>
    <dgm:cxn modelId="{1B03414A-3B0F-4316-BC6C-37B3BEB7F52C}" type="presOf" srcId="{D1AB71CA-AF8F-4F68-AAD6-88332A8F807F}" destId="{C1C4FAD9-95DC-4B02-BF7A-57C9EBCB69AA}" srcOrd="0" destOrd="0" presId="urn:microsoft.com/office/officeart/2005/8/layout/hList6"/>
    <dgm:cxn modelId="{E1DEC04C-68BA-4C09-8959-2ACBB3521F76}" type="presOf" srcId="{4644B80F-2491-42FA-8691-CB89126D5E1C}" destId="{EB27A69A-5CF5-4D2F-84F3-738C5C311244}" srcOrd="0" destOrd="1" presId="urn:microsoft.com/office/officeart/2005/8/layout/hList6"/>
    <dgm:cxn modelId="{7278DD6C-BA47-478F-8BC4-93937CB3A1CF}" srcId="{ACC0D372-CD4A-4199-92DE-2DE76E24017E}" destId="{D6D2ACC3-D378-41EE-8DAD-00D6DEB0A354}" srcOrd="0" destOrd="0" parTransId="{592C9334-A51C-441A-883F-DD96E65DD937}" sibTransId="{6812B853-08EA-4B70-BF4F-4082B0ED6E1E}"/>
    <dgm:cxn modelId="{C7597F88-78AF-47F8-8A68-E9F982DBDEC1}" type="presOf" srcId="{ACC0D372-CD4A-4199-92DE-2DE76E24017E}" destId="{089FA46C-06BE-4916-AF9C-56ACB10E5579}" srcOrd="0" destOrd="0" presId="urn:microsoft.com/office/officeart/2005/8/layout/hList6"/>
    <dgm:cxn modelId="{7090CFB1-1DF6-4541-A32C-8B2E2909878F}" type="presOf" srcId="{9D832401-5974-404F-B016-1332CC68F0D3}" destId="{5B2F45B2-C365-47F2-B2B8-378F1DA0481A}" srcOrd="0" destOrd="1" presId="urn:microsoft.com/office/officeart/2005/8/layout/hList6"/>
    <dgm:cxn modelId="{C3A5BBBC-F150-43EF-B5A4-40A61DCB0F11}" type="presOf" srcId="{D6D2ACC3-D378-41EE-8DAD-00D6DEB0A354}" destId="{EB27A69A-5CF5-4D2F-84F3-738C5C311244}" srcOrd="0" destOrd="0" presId="urn:microsoft.com/office/officeart/2005/8/layout/hList6"/>
    <dgm:cxn modelId="{6015FBC7-C005-4B0D-B915-A4CE77DDF3C5}" srcId="{D1AB71CA-AF8F-4F68-AAD6-88332A8F807F}" destId="{69B9DB1A-1356-4B9A-91EF-39524B41612A}" srcOrd="0" destOrd="0" parTransId="{723991EE-3A3C-48C4-97E5-35EDD5D626BA}" sibTransId="{69718B10-9B7F-4257-86E5-80E978E0B9E6}"/>
    <dgm:cxn modelId="{70C982F6-95F3-4DC9-9827-4E688C8DE4C2}" srcId="{D6D2ACC3-D378-41EE-8DAD-00D6DEB0A354}" destId="{4644B80F-2491-42FA-8691-CB89126D5E1C}" srcOrd="0" destOrd="0" parTransId="{6FC2E298-E383-4FCD-BE9C-22804223AFB9}" sibTransId="{93BCC6B1-B99C-44F5-8AF0-73981E489F0C}"/>
    <dgm:cxn modelId="{BB506613-A975-4F7E-9684-B7251668FB68}" type="presParOf" srcId="{089FA46C-06BE-4916-AF9C-56ACB10E5579}" destId="{EB27A69A-5CF5-4D2F-84F3-738C5C311244}" srcOrd="0" destOrd="0" presId="urn:microsoft.com/office/officeart/2005/8/layout/hList6"/>
    <dgm:cxn modelId="{73AD3023-469D-4DD8-99A5-251BCE7CA690}" type="presParOf" srcId="{089FA46C-06BE-4916-AF9C-56ACB10E5579}" destId="{0A9276FD-3F40-4C91-83A9-ED800FF0C020}" srcOrd="1" destOrd="0" presId="urn:microsoft.com/office/officeart/2005/8/layout/hList6"/>
    <dgm:cxn modelId="{272A74D9-CFA6-4413-94EE-21E65F083B18}" type="presParOf" srcId="{089FA46C-06BE-4916-AF9C-56ACB10E5579}" destId="{C1C4FAD9-95DC-4B02-BF7A-57C9EBCB69AA}" srcOrd="2" destOrd="0" presId="urn:microsoft.com/office/officeart/2005/8/layout/hList6"/>
    <dgm:cxn modelId="{4B293645-67E2-49DA-BB6F-4CB7DC624834}" type="presParOf" srcId="{089FA46C-06BE-4916-AF9C-56ACB10E5579}" destId="{00F61087-14DA-416F-8CD0-A241A264FC13}" srcOrd="3" destOrd="0" presId="urn:microsoft.com/office/officeart/2005/8/layout/hList6"/>
    <dgm:cxn modelId="{4B2DD0F7-6B42-430D-950E-E7A2C412682B}" type="presParOf" srcId="{089FA46C-06BE-4916-AF9C-56ACB10E5579}" destId="{5B2F45B2-C365-47F2-B2B8-378F1DA0481A}" srcOrd="4" destOrd="0" presId="urn:microsoft.com/office/officeart/2005/8/layout/h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7A69A-5CF5-4D2F-84F3-738C5C311244}">
      <dsp:nvSpPr>
        <dsp:cNvPr id="0" name=""/>
        <dsp:cNvSpPr/>
      </dsp:nvSpPr>
      <dsp:spPr>
        <a:xfrm rot="16200000">
          <a:off x="-234932" y="235622"/>
          <a:ext cx="2266950" cy="1795704"/>
        </a:xfrm>
        <a:prstGeom prst="flowChartManualOperation">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0" rIns="134255" bIns="0" numCol="1" spcCol="1270" anchor="t" anchorCtr="0">
          <a:noAutofit/>
        </a:bodyPr>
        <a:lstStyle/>
        <a:p>
          <a:pPr marL="0" lvl="0" indent="0" algn="l" defTabSz="933450">
            <a:lnSpc>
              <a:spcPct val="90000"/>
            </a:lnSpc>
            <a:spcBef>
              <a:spcPct val="0"/>
            </a:spcBef>
            <a:spcAft>
              <a:spcPct val="35000"/>
            </a:spcAft>
            <a:buNone/>
          </a:pPr>
          <a:r>
            <a:rPr lang="hr-HR" sz="2100" kern="1200"/>
            <a:t>OPĆI CILJ 1</a:t>
          </a:r>
          <a:endParaRPr lang="en-GB" sz="2100" kern="1200"/>
        </a:p>
        <a:p>
          <a:pPr marL="171450" lvl="1" indent="-171450" algn="l" defTabSz="711200">
            <a:lnSpc>
              <a:spcPct val="90000"/>
            </a:lnSpc>
            <a:spcBef>
              <a:spcPct val="0"/>
            </a:spcBef>
            <a:spcAft>
              <a:spcPct val="15000"/>
            </a:spcAft>
            <a:buChar char="•"/>
          </a:pPr>
          <a:r>
            <a:rPr lang="hr-HR" sz="1600" kern="1200"/>
            <a:t>Daljnji razvoj sustava gospodarenja otpadom </a:t>
          </a:r>
          <a:endParaRPr lang="en-GB" sz="1600" kern="1200"/>
        </a:p>
      </dsp:txBody>
      <dsp:txXfrm rot="5400000">
        <a:off x="691" y="453389"/>
        <a:ext cx="1795704" cy="1360170"/>
      </dsp:txXfrm>
    </dsp:sp>
    <dsp:sp modelId="{C1C4FAD9-95DC-4B02-BF7A-57C9EBCB69AA}">
      <dsp:nvSpPr>
        <dsp:cNvPr id="0" name=""/>
        <dsp:cNvSpPr/>
      </dsp:nvSpPr>
      <dsp:spPr>
        <a:xfrm rot="16200000">
          <a:off x="1695450" y="235622"/>
          <a:ext cx="2266950" cy="1795704"/>
        </a:xfrm>
        <a:prstGeom prst="flowChartManualOperation">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0" rIns="134255" bIns="0" numCol="1" spcCol="1270" anchor="t" anchorCtr="0">
          <a:noAutofit/>
        </a:bodyPr>
        <a:lstStyle/>
        <a:p>
          <a:pPr marL="0" lvl="0" indent="0" algn="l" defTabSz="933450">
            <a:lnSpc>
              <a:spcPct val="90000"/>
            </a:lnSpc>
            <a:spcBef>
              <a:spcPct val="0"/>
            </a:spcBef>
            <a:spcAft>
              <a:spcPct val="35000"/>
            </a:spcAft>
            <a:buNone/>
          </a:pPr>
          <a:r>
            <a:rPr lang="hr-HR" sz="2100" kern="1200"/>
            <a:t>OPĆI CILJ 2</a:t>
          </a:r>
          <a:endParaRPr lang="en-GB" sz="2100" kern="1200"/>
        </a:p>
        <a:p>
          <a:pPr marL="171450" lvl="1" indent="-171450" algn="l" defTabSz="711200">
            <a:lnSpc>
              <a:spcPct val="90000"/>
            </a:lnSpc>
            <a:spcBef>
              <a:spcPct val="0"/>
            </a:spcBef>
            <a:spcAft>
              <a:spcPct val="15000"/>
            </a:spcAft>
            <a:buChar char="•"/>
          </a:pPr>
          <a:r>
            <a:rPr lang="hr-HR" sz="1600" kern="1200"/>
            <a:t>Unaprijediti uvjete rada</a:t>
          </a:r>
          <a:endParaRPr lang="en-GB" sz="1600" kern="1200"/>
        </a:p>
      </dsp:txBody>
      <dsp:txXfrm rot="5400000">
        <a:off x="1931073" y="453389"/>
        <a:ext cx="1795704" cy="1360170"/>
      </dsp:txXfrm>
    </dsp:sp>
    <dsp:sp modelId="{5B2F45B2-C365-47F2-B2B8-378F1DA0481A}">
      <dsp:nvSpPr>
        <dsp:cNvPr id="0" name=""/>
        <dsp:cNvSpPr/>
      </dsp:nvSpPr>
      <dsp:spPr>
        <a:xfrm rot="16200000">
          <a:off x="3625832" y="235622"/>
          <a:ext cx="2266950" cy="1795704"/>
        </a:xfrm>
        <a:prstGeom prst="flowChartManualOperation">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0" rIns="134255" bIns="0" numCol="1" spcCol="1270" anchor="t" anchorCtr="0">
          <a:noAutofit/>
        </a:bodyPr>
        <a:lstStyle/>
        <a:p>
          <a:pPr marL="0" lvl="0" indent="0" algn="l" defTabSz="933450">
            <a:lnSpc>
              <a:spcPct val="90000"/>
            </a:lnSpc>
            <a:spcBef>
              <a:spcPct val="0"/>
            </a:spcBef>
            <a:spcAft>
              <a:spcPct val="35000"/>
            </a:spcAft>
            <a:buNone/>
          </a:pPr>
          <a:r>
            <a:rPr lang="hr-HR" sz="2100" kern="1200"/>
            <a:t>OPĆI CILJ 3</a:t>
          </a:r>
          <a:endParaRPr lang="en-GB" sz="2100" kern="1200"/>
        </a:p>
        <a:p>
          <a:pPr marL="171450" lvl="1" indent="-171450" algn="l" defTabSz="711200">
            <a:lnSpc>
              <a:spcPct val="90000"/>
            </a:lnSpc>
            <a:spcBef>
              <a:spcPct val="0"/>
            </a:spcBef>
            <a:spcAft>
              <a:spcPct val="15000"/>
            </a:spcAft>
            <a:buChar char="•"/>
          </a:pPr>
          <a:r>
            <a:rPr lang="hr-HR" sz="1600" kern="1200"/>
            <a:t>Stabilno i dugoročno održivo poslovanje</a:t>
          </a:r>
          <a:endParaRPr lang="en-GB" sz="1600" kern="1200"/>
        </a:p>
      </dsp:txBody>
      <dsp:txXfrm rot="5400000">
        <a:off x="3861455" y="453389"/>
        <a:ext cx="1795704" cy="136017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8B010-8A8E-4A0A-A2D3-D3241628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3796</Words>
  <Characters>21640</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Tkalčec-Avirović</dc:creator>
  <cp:keywords/>
  <dc:description/>
  <cp:lastModifiedBy>Nataša Hasanović</cp:lastModifiedBy>
  <cp:revision>6</cp:revision>
  <cp:lastPrinted>2023-10-31T06:17:00Z</cp:lastPrinted>
  <dcterms:created xsi:type="dcterms:W3CDTF">2023-11-02T13:12:00Z</dcterms:created>
  <dcterms:modified xsi:type="dcterms:W3CDTF">2023-11-06T10:32:00Z</dcterms:modified>
</cp:coreProperties>
</file>