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99322" w14:textId="361DF2FE" w:rsidR="00ED0675" w:rsidRPr="0014414D" w:rsidRDefault="00EC2B7C" w:rsidP="00ED067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ED0675" w:rsidRPr="0014414D">
        <w:rPr>
          <w:b/>
          <w:bCs/>
          <w:sz w:val="24"/>
          <w:szCs w:val="24"/>
        </w:rPr>
        <w:t xml:space="preserve">OBRAZLOŽENJE CIJENE </w:t>
      </w:r>
      <w:r w:rsidR="00B97D1A" w:rsidRPr="0014414D">
        <w:rPr>
          <w:b/>
          <w:bCs/>
          <w:sz w:val="24"/>
          <w:szCs w:val="24"/>
        </w:rPr>
        <w:t xml:space="preserve">I IZMJENE CIJENE </w:t>
      </w:r>
      <w:r w:rsidR="00ED0675" w:rsidRPr="0014414D">
        <w:rPr>
          <w:b/>
          <w:bCs/>
          <w:sz w:val="24"/>
          <w:szCs w:val="24"/>
        </w:rPr>
        <w:t>JAVNE USLUGE SAKUPLJANJA KOMUNALNOG OTPADA</w:t>
      </w:r>
    </w:p>
    <w:p w14:paraId="65718B72" w14:textId="77777777" w:rsidR="00ED0675" w:rsidRDefault="00ED0675" w:rsidP="00ED0675"/>
    <w:p w14:paraId="4FFF8315" w14:textId="77777777" w:rsidR="00ED0675" w:rsidRDefault="00ED0675" w:rsidP="00ED0675">
      <w:pPr>
        <w:jc w:val="both"/>
      </w:pPr>
      <w:r>
        <w:t xml:space="preserve">Zakon o gospodarenju otpadom (NN 84/21 i 142/23, u daljnjem tekstu: Zakon) uređuje sustav gospodarenja otpadom koji ima za cilj zaštitu okoliša i ljudskog zdravlja sprječavanjem ili smanjenjem nastanka otpada te povećanje recikliranja i ponovnog korištenja iskoristivog otpada. Zakon je propisao nadležnosti u gospodarenju otpadom, a s tim u vezi određuje da je izvršno tijelo jedinice lokalne samouprave dužno na svom području osigurati uvjete i provedbu propisanih mjera gospodarenja otpadom. Gospodarenjem komunalnim otpadom osigurava se mogućnost korištenja javne usluge sakupljanja komunalnog otpada te se potiče proizvođača otpada i posjednika otpada da odvojeno predaju otpad, kako bi se smanjila količina miješanog komunalnog otpada koji nastaje, smanjio udio biootpada u proizvedenom miješanom komunalnom otpadu, povećale količine odvojeno prikupljenog </w:t>
      </w:r>
      <w:proofErr w:type="spellStart"/>
      <w:r>
        <w:t>reciklabilnog</w:t>
      </w:r>
      <w:proofErr w:type="spellEnd"/>
      <w:r>
        <w:t xml:space="preserve"> otpada uključivo i otpad koji se svrstava u posebne kategorije otpada čije gospodarenje je uređeno propisima kojima se uređuje gospodarenje posebnim kategorijama otpada, te time smanjila količina otpada koji se zbrinjava odlaganjem. </w:t>
      </w:r>
    </w:p>
    <w:p w14:paraId="122EA6C2" w14:textId="77777777" w:rsidR="00ED0675" w:rsidRDefault="00ED0675" w:rsidP="00ED0675">
      <w:pPr>
        <w:jc w:val="both"/>
      </w:pPr>
    </w:p>
    <w:p w14:paraId="1854A156" w14:textId="6F11C1BD" w:rsidR="00ED0675" w:rsidRDefault="00ED0675" w:rsidP="00ED0675">
      <w:pPr>
        <w:jc w:val="both"/>
      </w:pPr>
      <w:r>
        <w:t xml:space="preserve">Javna usluga sakupljanja komunalnog otpada je usluga od općeg interesa. Javna usluga uključuje slijedeće usluge: </w:t>
      </w:r>
    </w:p>
    <w:p w14:paraId="01BE1884" w14:textId="77777777" w:rsidR="00ED0675" w:rsidRDefault="00ED0675" w:rsidP="00ED0675">
      <w:pPr>
        <w:jc w:val="both"/>
      </w:pPr>
      <w:r>
        <w:t xml:space="preserve">1. Uslugu prikupljanja na lokaciji obračunskog mjesta korisnika usluge: miješanog komunalnog otpada, biootpada, </w:t>
      </w:r>
      <w:proofErr w:type="spellStart"/>
      <w:r>
        <w:t>reciklabilnog</w:t>
      </w:r>
      <w:proofErr w:type="spellEnd"/>
      <w:r>
        <w:t xml:space="preserve"> komunalnog otpada i glomaznog otpada dva puta godišnje </w:t>
      </w:r>
    </w:p>
    <w:p w14:paraId="74BF433C" w14:textId="77777777" w:rsidR="00ED0675" w:rsidRDefault="00ED0675" w:rsidP="00ED0675">
      <w:pPr>
        <w:jc w:val="both"/>
      </w:pPr>
      <w:r>
        <w:t xml:space="preserve">2. Uslugu preuzimanja otpada u </w:t>
      </w:r>
      <w:proofErr w:type="spellStart"/>
      <w:r>
        <w:t>reciklažnom</w:t>
      </w:r>
      <w:proofErr w:type="spellEnd"/>
      <w:r>
        <w:t xml:space="preserve"> dvorištu </w:t>
      </w:r>
    </w:p>
    <w:p w14:paraId="68835958" w14:textId="77777777" w:rsidR="00ED0675" w:rsidRDefault="00ED0675" w:rsidP="00ED0675">
      <w:pPr>
        <w:jc w:val="both"/>
      </w:pPr>
      <w:r>
        <w:t xml:space="preserve">3. Uslugu prijevoza i predaje otpada ovlaštenoj osobi. </w:t>
      </w:r>
    </w:p>
    <w:p w14:paraId="68DEB912" w14:textId="77777777" w:rsidR="00ED0675" w:rsidRDefault="00ED0675" w:rsidP="00ED0675">
      <w:pPr>
        <w:jc w:val="both"/>
      </w:pPr>
    </w:p>
    <w:p w14:paraId="1207822D" w14:textId="77777777" w:rsidR="00ED0675" w:rsidRDefault="00ED0675" w:rsidP="00ED0675">
      <w:pPr>
        <w:jc w:val="both"/>
      </w:pPr>
      <w:r>
        <w:t xml:space="preserve">Izvršno tijelo jedinice lokalne samouprave dužno je na svom području </w:t>
      </w:r>
      <w:r w:rsidRPr="00ED0675">
        <w:t xml:space="preserve">osigurati obavljanje javne usluge sakupljanja komunalnog otpada na kvalitetan, postojan i ekonomski učinkovit način, izbjegavajući neopravdano visoke troškove, u skladu s načelima održivog razvoja, zaštite okoliša, osiguravajući pri tom javnost rada kako bi se osiguralo odvojeno sakupljanje miješanog komunalnog otpada iz kućanstava i drugih izvora, biootpada iz kućanstva, </w:t>
      </w:r>
      <w:proofErr w:type="spellStart"/>
      <w:r w:rsidRPr="00ED0675">
        <w:t>reciklabilnog</w:t>
      </w:r>
      <w:proofErr w:type="spellEnd"/>
      <w:r w:rsidRPr="00ED0675">
        <w:t xml:space="preserve"> komunalnog otpada, opasnog otpada i glomaznog otpada iz kućanstva.</w:t>
      </w:r>
    </w:p>
    <w:p w14:paraId="1346E2E7" w14:textId="77777777" w:rsidR="007932F2" w:rsidRDefault="007932F2" w:rsidP="00ED0675">
      <w:pPr>
        <w:jc w:val="both"/>
      </w:pPr>
    </w:p>
    <w:p w14:paraId="056EB272" w14:textId="4E5FD96A" w:rsidR="0014414D" w:rsidRDefault="007932F2" w:rsidP="0014414D">
      <w:pPr>
        <w:jc w:val="both"/>
      </w:pPr>
      <w:r>
        <w:t xml:space="preserve">Cijena javne usluge plaća se radi pokrića troškova pružanja javne usluge, a strukturu cijene javne usluge čini: cijena za količinu predanog miješanog komunalnog otpada i cijena obvezne minimalne javne usluge. Cijena za količinu predanog miješanog komunalnog otpada </w:t>
      </w:r>
      <w:r w:rsidR="00B97D1A">
        <w:t xml:space="preserve">određuje se prema kriteriju volumena spremnika miješanog komunalnog otpada izraženog u litrama te broju pražnjenja spremnika u obračunskom razdoblju. </w:t>
      </w:r>
      <w:r w:rsidR="0014414D">
        <w:t xml:space="preserve">Cjenikom, se zasebno za korisnika razvrstanog u kategoriju kućanstvo i za korisnika razvrstanog u kategoriju korisnika koji nije kućanstvo </w:t>
      </w:r>
      <w:r w:rsidR="006B0DC2">
        <w:t xml:space="preserve">određuje </w:t>
      </w:r>
      <w:r w:rsidR="0014414D">
        <w:t>jedinična cijena za preuzimanje volumena spremnika miješanoga komunalnog otpada.</w:t>
      </w:r>
    </w:p>
    <w:p w14:paraId="77A83151" w14:textId="77777777" w:rsidR="0014414D" w:rsidRDefault="0014414D" w:rsidP="00ED0675">
      <w:pPr>
        <w:jc w:val="both"/>
      </w:pPr>
    </w:p>
    <w:p w14:paraId="60ECE99E" w14:textId="4BF2469D" w:rsidR="0014414D" w:rsidRDefault="0014414D" w:rsidP="00ED0675">
      <w:pPr>
        <w:jc w:val="both"/>
      </w:pPr>
      <w:r>
        <w:t xml:space="preserve">Sukladno članku 77. stavku 3. Davatelj usluge je dužan provesti prethodno javno savjetovanje od najmanje 30 dana o prijedlogu cjenika s obrazloženjem cijene i izmjene cijene te s obrazloženjem načina na koji je određena cijena obvezne minimalne javne usluge. </w:t>
      </w:r>
    </w:p>
    <w:p w14:paraId="0D52D746" w14:textId="77777777" w:rsidR="0014414D" w:rsidRDefault="0014414D" w:rsidP="00ED0675">
      <w:pPr>
        <w:jc w:val="both"/>
      </w:pPr>
    </w:p>
    <w:p w14:paraId="57CF1562" w14:textId="492E9DB6" w:rsidR="0014414D" w:rsidRDefault="0014414D" w:rsidP="0014414D">
      <w:pPr>
        <w:jc w:val="both"/>
      </w:pPr>
      <w:r>
        <w:t>Cijena obvezne minimalne javne usluge određuje se na način opisan u posebnom prilogu</w:t>
      </w:r>
      <w:r w:rsidR="006B0DC2">
        <w:t>. N</w:t>
      </w:r>
      <w:r>
        <w:t>a području pružanja javne usluge se primjenjuje jedinstvena cijena obvezne minimalne javne usluge za korisnika usluge razvrstanog u kategoriju korisnika kućanstvo i jedinstvena cijena obvezne minimalne javne usluge za korisnika usluge razvrstanog u kategoriju korisnika koji nije kućanstvo</w:t>
      </w:r>
      <w:r w:rsidR="006B0DC2">
        <w:t xml:space="preserve"> sukladno Zakonu i Odluci o načinu pružanja javne usluge sakupljanja komunalnog otpada za područje određene jedinice lokalne samouprave</w:t>
      </w:r>
      <w:r>
        <w:t xml:space="preserve">. </w:t>
      </w:r>
    </w:p>
    <w:p w14:paraId="595CCA70" w14:textId="77777777" w:rsidR="0014414D" w:rsidRDefault="0014414D" w:rsidP="00ED0675">
      <w:pPr>
        <w:jc w:val="both"/>
      </w:pPr>
    </w:p>
    <w:p w14:paraId="4519BFD4" w14:textId="1EB32C17" w:rsidR="00ED0675" w:rsidRDefault="00ED0675" w:rsidP="00ED0675">
      <w:pPr>
        <w:jc w:val="both"/>
      </w:pPr>
      <w:r>
        <w:t>Posljednja izmjena cijene javne usluge za područje Grada Čakovca</w:t>
      </w:r>
      <w:r w:rsidR="006B0DC2">
        <w:t>, Općine Nedelišće, Općine Strahoninec, Općine Šenkovec, Općine Orehovica, Općine Mala Subotica i Općine Štrigova</w:t>
      </w:r>
      <w:r>
        <w:t xml:space="preserve"> bila je u </w:t>
      </w:r>
      <w:r>
        <w:lastRenderedPageBreak/>
        <w:t>studenome</w:t>
      </w:r>
      <w:r w:rsidR="006B0DC2">
        <w:t>, odnosno prosincu</w:t>
      </w:r>
      <w:r>
        <w:t xml:space="preserve"> 2022.</w:t>
      </w:r>
      <w:r w:rsidR="00EC2B7C">
        <w:t xml:space="preserve"> s primjenom od 01. siječnja 2023.</w:t>
      </w:r>
      <w:r>
        <w:t>, prema kalkulacijama troškova iz 2020./2021. Nova predložena cijena javne usluge je bazirana na kalkulaciji troškova za 2024./2025. te plana rasta troškova u narednom razdoblju.</w:t>
      </w:r>
    </w:p>
    <w:p w14:paraId="78EB1F99" w14:textId="77777777" w:rsidR="00ED0675" w:rsidRDefault="00ED0675" w:rsidP="00ED0675">
      <w:pPr>
        <w:jc w:val="both"/>
      </w:pPr>
    </w:p>
    <w:p w14:paraId="07E10CCC" w14:textId="77777777" w:rsidR="00ED0675" w:rsidRDefault="00ED0675" w:rsidP="00ED0675">
      <w:pPr>
        <w:jc w:val="both"/>
      </w:pPr>
      <w:r>
        <w:t>U razdoblju od 2021. do 2025. značajno su povećani pojedini troškovi poslovanja. Troškovi koji imaju značajan udjel u cijeni javne usluge, a koji su u promatranom razdoblju porasli zbog povećanja jediničnih cijena odnose se na:</w:t>
      </w:r>
    </w:p>
    <w:p w14:paraId="316B14DC" w14:textId="2CA62F15" w:rsidR="00ED0675" w:rsidRDefault="00ED0675" w:rsidP="00ED0675">
      <w:r>
        <w:t xml:space="preserve">- dizel gorivo za 4,9 % </w:t>
      </w:r>
      <w:r>
        <w:br/>
        <w:t xml:space="preserve">- posude za otpad za 30 % </w:t>
      </w:r>
      <w:r>
        <w:br/>
        <w:t xml:space="preserve">- komunalna vozila za 35,7 % </w:t>
      </w:r>
      <w:r>
        <w:br/>
        <w:t xml:space="preserve">- usluge zbrinjavanja plastičnog otpada kod ovlaštene pravne osobe za 104 % </w:t>
      </w:r>
      <w:r>
        <w:br/>
        <w:t xml:space="preserve">- električnu energiju za 105 % </w:t>
      </w:r>
      <w:r>
        <w:br/>
        <w:t xml:space="preserve">- zaštitarske usluge na odlagalištu otpada za 72,4 % </w:t>
      </w:r>
      <w:r>
        <w:br/>
        <w:t>- bruto plaće zaposlenicima na postupanju sa otpadom za 60,3 % i vozača za 54,4 %</w:t>
      </w:r>
      <w:r>
        <w:br/>
        <w:t>- naknade i prigodne nagrade zaposlenicima prema kolektivnom ugovoru za 75,8 %.</w:t>
      </w:r>
    </w:p>
    <w:p w14:paraId="44427837" w14:textId="77777777" w:rsidR="002B064E" w:rsidRDefault="002B064E"/>
    <w:p w14:paraId="19F2F783" w14:textId="0A8C3C65" w:rsidR="00587DF9" w:rsidRDefault="00587DF9">
      <w:r>
        <w:t>U Mihovljanu, 08.09.2025.</w:t>
      </w:r>
    </w:p>
    <w:p w14:paraId="385BEF3D" w14:textId="77777777" w:rsidR="00587DF9" w:rsidRDefault="00587DF9"/>
    <w:p w14:paraId="26FAF7B1" w14:textId="77777777" w:rsidR="00587DF9" w:rsidRDefault="00587DF9"/>
    <w:p w14:paraId="785B3B8C" w14:textId="77777777" w:rsidR="00587DF9" w:rsidRDefault="00587DF9"/>
    <w:p w14:paraId="2D7D1936" w14:textId="77777777" w:rsidR="00587DF9" w:rsidRDefault="00587DF9"/>
    <w:p w14:paraId="47476703" w14:textId="1263B77D" w:rsidR="00587DF9" w:rsidRDefault="00587DF9" w:rsidP="00587DF9">
      <w:pPr>
        <w:jc w:val="right"/>
      </w:pPr>
      <w:r>
        <w:t>GKP ČAKOM d.o.o.</w:t>
      </w:r>
    </w:p>
    <w:sectPr w:rsidR="00587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91"/>
    <w:rsid w:val="000A4791"/>
    <w:rsid w:val="000E64C5"/>
    <w:rsid w:val="0014414D"/>
    <w:rsid w:val="002B064E"/>
    <w:rsid w:val="00587DF9"/>
    <w:rsid w:val="006B0DC2"/>
    <w:rsid w:val="007932F2"/>
    <w:rsid w:val="007C4BED"/>
    <w:rsid w:val="00922809"/>
    <w:rsid w:val="00B97D1A"/>
    <w:rsid w:val="00BF338A"/>
    <w:rsid w:val="00EC2B7C"/>
    <w:rsid w:val="00ED0675"/>
    <w:rsid w:val="00F7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5E5A"/>
  <w15:chartTrackingRefBased/>
  <w15:docId w15:val="{0A01D1F0-CEC0-441C-8433-E3437072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675"/>
    <w:pPr>
      <w:spacing w:after="0" w:line="240" w:lineRule="auto"/>
    </w:pPr>
    <w:rPr>
      <w:rFonts w:ascii="Calibri" w:hAnsi="Calibri" w:cs="Calibri"/>
      <w:kern w:val="0"/>
    </w:rPr>
  </w:style>
  <w:style w:type="paragraph" w:styleId="Naslov1">
    <w:name w:val="heading 1"/>
    <w:basedOn w:val="Normal"/>
    <w:next w:val="Normal"/>
    <w:link w:val="Naslov1Char"/>
    <w:uiPriority w:val="9"/>
    <w:qFormat/>
    <w:rsid w:val="000A47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A47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A479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A479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A479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A479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A479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A479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A479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A4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A4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A47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A479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A4791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A479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A479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A479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A479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A47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A4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A479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A4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A4791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itatChar">
    <w:name w:val="Citat Char"/>
    <w:basedOn w:val="Zadanifontodlomka"/>
    <w:link w:val="Citat"/>
    <w:uiPriority w:val="29"/>
    <w:rsid w:val="000A479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A4791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Jakoisticanje">
    <w:name w:val="Intense Emphasis"/>
    <w:basedOn w:val="Zadanifontodlomka"/>
    <w:uiPriority w:val="21"/>
    <w:qFormat/>
    <w:rsid w:val="000A479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A4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A4791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A4791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ED06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Tkalčec-Avirović</dc:creator>
  <cp:keywords/>
  <dc:description/>
  <cp:lastModifiedBy>Snježana Tkalčec-Avirović</cp:lastModifiedBy>
  <cp:revision>7</cp:revision>
  <dcterms:created xsi:type="dcterms:W3CDTF">2025-09-08T09:38:00Z</dcterms:created>
  <dcterms:modified xsi:type="dcterms:W3CDTF">2025-09-08T11:03:00Z</dcterms:modified>
</cp:coreProperties>
</file>